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89" w:rsidRPr="00EF0E92" w:rsidRDefault="00737889" w:rsidP="00EF0E92">
      <w:pPr>
        <w:jc w:val="center"/>
        <w:rPr>
          <w:lang w:val="it-IT"/>
        </w:rPr>
      </w:pPr>
      <w:bookmarkStart w:id="0" w:name="_GoBack"/>
      <w:bookmarkEnd w:id="0"/>
    </w:p>
    <w:p w:rsidR="009F13D7" w:rsidRPr="00EF0E92" w:rsidRDefault="009F13D7" w:rsidP="00EF0E92">
      <w:pPr>
        <w:jc w:val="center"/>
        <w:rPr>
          <w:lang w:val="it-IT"/>
        </w:rPr>
      </w:pPr>
    </w:p>
    <w:p w:rsidR="009F13D7" w:rsidRPr="00EF0E92" w:rsidRDefault="009F13D7" w:rsidP="00EF0E92">
      <w:pPr>
        <w:jc w:val="center"/>
        <w:rPr>
          <w:lang w:val="it-IT"/>
        </w:rPr>
      </w:pPr>
    </w:p>
    <w:p w:rsidR="00737889" w:rsidRPr="00EF0E92" w:rsidRDefault="00737889" w:rsidP="00EF0E92">
      <w:pPr>
        <w:jc w:val="center"/>
        <w:rPr>
          <w:lang w:val="fr-FR"/>
        </w:rPr>
      </w:pPr>
      <w:r w:rsidRPr="00EF0E92">
        <w:rPr>
          <w:lang w:val="fr-FR"/>
        </w:rPr>
        <w:t>PREMIÈRE SECTION</w:t>
      </w:r>
    </w:p>
    <w:p w:rsidR="00737889" w:rsidRPr="00EF0E92" w:rsidRDefault="00737889" w:rsidP="00EF0E92">
      <w:pPr>
        <w:jc w:val="center"/>
        <w:rPr>
          <w:lang w:val="fr-FR"/>
        </w:rPr>
      </w:pPr>
    </w:p>
    <w:p w:rsidR="009F13D7" w:rsidRPr="00EF0E92" w:rsidRDefault="009F13D7" w:rsidP="00EF0E92">
      <w:pPr>
        <w:jc w:val="center"/>
        <w:rPr>
          <w:lang w:val="fr-FR"/>
        </w:rPr>
      </w:pPr>
    </w:p>
    <w:p w:rsidR="009F13D7" w:rsidRPr="00EF0E92" w:rsidRDefault="009F13D7" w:rsidP="00EF0E92">
      <w:pPr>
        <w:jc w:val="center"/>
        <w:rPr>
          <w:lang w:val="fr-FR"/>
        </w:rPr>
      </w:pPr>
    </w:p>
    <w:p w:rsidR="009F13D7" w:rsidRPr="00EF0E92" w:rsidRDefault="009F13D7" w:rsidP="00EF0E92">
      <w:pPr>
        <w:jc w:val="center"/>
        <w:rPr>
          <w:lang w:val="fr-FR"/>
        </w:rPr>
      </w:pPr>
    </w:p>
    <w:p w:rsidR="009F13D7" w:rsidRPr="00EF0E92" w:rsidRDefault="009F13D7" w:rsidP="00EF0E92">
      <w:pPr>
        <w:jc w:val="center"/>
        <w:rPr>
          <w:lang w:val="fr-FR"/>
        </w:rPr>
      </w:pPr>
    </w:p>
    <w:p w:rsidR="009F13D7" w:rsidRPr="00EF0E92" w:rsidRDefault="009F13D7" w:rsidP="00EF0E92">
      <w:pPr>
        <w:jc w:val="center"/>
        <w:rPr>
          <w:lang w:val="fr-FR"/>
        </w:rPr>
      </w:pPr>
    </w:p>
    <w:p w:rsidR="00737889" w:rsidRPr="00EF0E92" w:rsidRDefault="00737889" w:rsidP="00EF0E92">
      <w:pPr>
        <w:jc w:val="center"/>
        <w:rPr>
          <w:b/>
          <w:lang w:val="fr-FR"/>
        </w:rPr>
      </w:pPr>
      <w:r w:rsidRPr="00EF0E92">
        <w:rPr>
          <w:b/>
          <w:lang w:val="fr-FR"/>
        </w:rPr>
        <w:t>AFFAIRE ENDRIZZI c. ITALIE</w:t>
      </w:r>
    </w:p>
    <w:p w:rsidR="00737889" w:rsidRPr="00EF0E92" w:rsidRDefault="00737889" w:rsidP="00EF0E92">
      <w:pPr>
        <w:jc w:val="center"/>
        <w:rPr>
          <w:lang w:val="fr-FR"/>
        </w:rPr>
      </w:pPr>
    </w:p>
    <w:p w:rsidR="009F13D7" w:rsidRPr="00EF0E92" w:rsidRDefault="00737889" w:rsidP="00EF0E92">
      <w:pPr>
        <w:jc w:val="center"/>
        <w:rPr>
          <w:rFonts w:eastAsiaTheme="minorHAnsi"/>
          <w:lang w:val="fr-FR"/>
        </w:rPr>
      </w:pPr>
      <w:r w:rsidRPr="00EF0E92">
        <w:rPr>
          <w:i/>
          <w:lang w:val="fr-FR"/>
        </w:rPr>
        <w:t>(Requête n</w:t>
      </w:r>
      <w:r w:rsidRPr="00EF0E92">
        <w:rPr>
          <w:i/>
          <w:vertAlign w:val="superscript"/>
          <w:lang w:val="fr-FR"/>
        </w:rPr>
        <w:t>o</w:t>
      </w:r>
      <w:r w:rsidRPr="00EF0E92">
        <w:rPr>
          <w:i/>
          <w:lang w:val="fr-FR"/>
        </w:rPr>
        <w:t xml:space="preserve"> 71660/14)</w:t>
      </w: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r w:rsidRPr="00EF0E92">
        <w:rPr>
          <w:rFonts w:eastAsiaTheme="minorHAnsi"/>
          <w:lang w:val="fr-FR"/>
        </w:rPr>
        <w:t>ARRÊT</w:t>
      </w:r>
    </w:p>
    <w:p w:rsidR="00737889" w:rsidRPr="00EF0E92" w:rsidRDefault="00737889"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r w:rsidRPr="00EF0E92">
        <w:rPr>
          <w:rFonts w:eastAsiaTheme="minorHAnsi"/>
          <w:lang w:val="fr-FR"/>
        </w:rPr>
        <w:t>STRASBOURG</w:t>
      </w: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r w:rsidRPr="00EF0E92">
        <w:rPr>
          <w:rFonts w:eastAsiaTheme="minorHAnsi"/>
          <w:lang w:val="fr-FR"/>
        </w:rPr>
        <w:t>23 mars 2017</w:t>
      </w: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9F13D7" w:rsidRPr="00EF0E92" w:rsidRDefault="009F13D7" w:rsidP="00EF0E92">
      <w:pPr>
        <w:jc w:val="center"/>
        <w:rPr>
          <w:rFonts w:eastAsiaTheme="minorHAnsi"/>
          <w:lang w:val="fr-FR"/>
        </w:rPr>
      </w:pPr>
    </w:p>
    <w:p w:rsidR="00846085" w:rsidRPr="00EF0E92" w:rsidRDefault="00846085" w:rsidP="00EF0E92">
      <w:pPr>
        <w:jc w:val="left"/>
        <w:rPr>
          <w:rFonts w:eastAsiaTheme="minorHAnsi"/>
          <w:i/>
          <w:sz w:val="22"/>
          <w:lang w:val="fr-FR"/>
        </w:rPr>
      </w:pPr>
      <w:r w:rsidRPr="00EF0E92">
        <w:rPr>
          <w:rFonts w:eastAsiaTheme="minorHAnsi"/>
          <w:i/>
          <w:sz w:val="22"/>
          <w:lang w:val="fr-FR"/>
        </w:rPr>
        <w:t>Cet arrêt deviendra définitif dans les conditions définies à l</w:t>
      </w:r>
      <w:r w:rsidR="00EF0E92" w:rsidRPr="00EF0E92">
        <w:rPr>
          <w:rFonts w:eastAsiaTheme="minorHAnsi"/>
          <w:i/>
          <w:sz w:val="22"/>
          <w:lang w:val="fr-FR"/>
        </w:rPr>
        <w:t>’</w:t>
      </w:r>
      <w:r w:rsidRPr="00EF0E92">
        <w:rPr>
          <w:rFonts w:eastAsiaTheme="minorHAnsi"/>
          <w:i/>
          <w:sz w:val="22"/>
          <w:lang w:val="fr-FR"/>
        </w:rPr>
        <w:t>article 44 § 2 de la Convention. Il peut subir des retouches de forme.</w:t>
      </w:r>
    </w:p>
    <w:p w:rsidR="00846085" w:rsidRPr="00EF0E92" w:rsidRDefault="00846085" w:rsidP="00EF0E92">
      <w:pPr>
        <w:pStyle w:val="JuParaSub"/>
        <w:ind w:left="0" w:firstLine="0"/>
        <w:rPr>
          <w:lang w:val="fr-FR"/>
        </w:rPr>
        <w:sectPr w:rsidR="00846085" w:rsidRPr="00EF0E92" w:rsidSect="009F13D7">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737889" w:rsidRPr="00EF0E92" w:rsidRDefault="00737889" w:rsidP="00EF0E92">
      <w:pPr>
        <w:pStyle w:val="JuCase"/>
        <w:rPr>
          <w:lang w:val="fr-FR"/>
        </w:rPr>
      </w:pPr>
      <w:r w:rsidRPr="00EF0E92">
        <w:rPr>
          <w:lang w:val="fr-FR"/>
        </w:rPr>
        <w:lastRenderedPageBreak/>
        <w:t>En l</w:t>
      </w:r>
      <w:r w:rsidR="00EF0E92" w:rsidRPr="00EF0E92">
        <w:rPr>
          <w:lang w:val="fr-FR"/>
        </w:rPr>
        <w:t>’</w:t>
      </w:r>
      <w:r w:rsidRPr="00EF0E92">
        <w:rPr>
          <w:lang w:val="fr-FR"/>
        </w:rPr>
        <w:t>affaire Endrizzi c. Italie,</w:t>
      </w:r>
    </w:p>
    <w:p w:rsidR="00737889" w:rsidRPr="00EF0E92" w:rsidRDefault="00737889" w:rsidP="00EF0E92">
      <w:pPr>
        <w:pStyle w:val="ECHRPara"/>
        <w:rPr>
          <w:lang w:val="fr-FR"/>
        </w:rPr>
      </w:pPr>
      <w:r w:rsidRPr="00EF0E92">
        <w:rPr>
          <w:lang w:val="fr-FR"/>
        </w:rPr>
        <w:t>La Cour européenne des droits de l</w:t>
      </w:r>
      <w:r w:rsidR="00EF0E92" w:rsidRPr="00EF0E92">
        <w:rPr>
          <w:lang w:val="fr-FR"/>
        </w:rPr>
        <w:t>’</w:t>
      </w:r>
      <w:r w:rsidRPr="00EF0E92">
        <w:rPr>
          <w:lang w:val="fr-FR"/>
        </w:rPr>
        <w:t>homme (première section), siégeant en une chambre composée de :</w:t>
      </w:r>
    </w:p>
    <w:p w:rsidR="00737889" w:rsidRPr="00EF0E92" w:rsidRDefault="009F13D7" w:rsidP="00EF0E92">
      <w:pPr>
        <w:pStyle w:val="ECHRDecisionBody"/>
        <w:rPr>
          <w:lang w:val="fr-FR"/>
        </w:rPr>
      </w:pPr>
      <w:r w:rsidRPr="00EF0E92">
        <w:rPr>
          <w:lang w:val="fr-FR"/>
        </w:rPr>
        <w:tab/>
        <w:t>Linos-Alexandre Sicilianos,</w:t>
      </w:r>
      <w:r w:rsidRPr="00EF0E92">
        <w:rPr>
          <w:i/>
          <w:lang w:val="fr-FR"/>
        </w:rPr>
        <w:t xml:space="preserve"> président,</w:t>
      </w:r>
      <w:r w:rsidRPr="00EF0E92">
        <w:rPr>
          <w:i/>
          <w:lang w:val="fr-FR"/>
        </w:rPr>
        <w:br/>
      </w:r>
      <w:r w:rsidRPr="00EF0E92">
        <w:rPr>
          <w:lang w:val="fr-FR"/>
        </w:rPr>
        <w:tab/>
        <w:t>Kristina Pardalos,</w:t>
      </w:r>
      <w:r w:rsidRPr="00EF0E92">
        <w:rPr>
          <w:i/>
          <w:lang w:val="fr-FR"/>
        </w:rPr>
        <w:br/>
      </w:r>
      <w:r w:rsidRPr="00EF0E92">
        <w:rPr>
          <w:lang w:val="fr-FR"/>
        </w:rPr>
        <w:tab/>
        <w:t>Guido Raimondi,</w:t>
      </w:r>
      <w:r w:rsidRPr="00EF0E92">
        <w:rPr>
          <w:i/>
          <w:lang w:val="fr-FR"/>
        </w:rPr>
        <w:br/>
      </w:r>
      <w:r w:rsidRPr="00EF0E92">
        <w:rPr>
          <w:lang w:val="fr-FR"/>
        </w:rPr>
        <w:tab/>
        <w:t>Aleš Pejchal,</w:t>
      </w:r>
      <w:r w:rsidRPr="00EF0E92">
        <w:rPr>
          <w:i/>
          <w:lang w:val="fr-FR"/>
        </w:rPr>
        <w:br/>
      </w:r>
      <w:r w:rsidRPr="00EF0E92">
        <w:rPr>
          <w:lang w:val="fr-FR"/>
        </w:rPr>
        <w:tab/>
        <w:t>Robert Spano,</w:t>
      </w:r>
      <w:r w:rsidRPr="00EF0E92">
        <w:rPr>
          <w:i/>
          <w:lang w:val="fr-FR"/>
        </w:rPr>
        <w:br/>
      </w:r>
      <w:r w:rsidRPr="00EF0E92">
        <w:rPr>
          <w:lang w:val="fr-FR"/>
        </w:rPr>
        <w:tab/>
        <w:t>Armen Harutyunyan,</w:t>
      </w:r>
      <w:r w:rsidRPr="00EF0E92">
        <w:rPr>
          <w:i/>
          <w:lang w:val="fr-FR"/>
        </w:rPr>
        <w:br/>
      </w:r>
      <w:r w:rsidRPr="00EF0E92">
        <w:rPr>
          <w:lang w:val="fr-FR"/>
        </w:rPr>
        <w:tab/>
        <w:t>Tim Eicke,</w:t>
      </w:r>
      <w:r w:rsidRPr="00EF0E92">
        <w:rPr>
          <w:i/>
          <w:lang w:val="fr-FR"/>
        </w:rPr>
        <w:t xml:space="preserve"> juges,</w:t>
      </w:r>
      <w:r w:rsidR="00737889" w:rsidRPr="00EF0E92">
        <w:rPr>
          <w:lang w:val="fr-FR"/>
        </w:rPr>
        <w:br/>
        <w:t xml:space="preserve">et de Abel Campos, </w:t>
      </w:r>
      <w:r w:rsidR="00737889" w:rsidRPr="00EF0E92">
        <w:rPr>
          <w:i/>
          <w:lang w:val="fr-FR"/>
        </w:rPr>
        <w:t>greffier</w:t>
      </w:r>
      <w:r w:rsidR="00737889" w:rsidRPr="00EF0E92">
        <w:rPr>
          <w:iCs/>
          <w:lang w:val="fr-FR"/>
        </w:rPr>
        <w:t xml:space="preserve"> </w:t>
      </w:r>
      <w:r w:rsidR="00737889" w:rsidRPr="00EF0E92">
        <w:rPr>
          <w:i/>
          <w:iCs/>
          <w:lang w:val="fr-FR"/>
        </w:rPr>
        <w:t>d</w:t>
      </w:r>
      <w:r w:rsidR="00737889" w:rsidRPr="00EF0E92">
        <w:rPr>
          <w:i/>
          <w:lang w:val="fr-FR"/>
        </w:rPr>
        <w:t>e section</w:t>
      </w:r>
      <w:r w:rsidR="00737889" w:rsidRPr="00EF0E92">
        <w:rPr>
          <w:lang w:val="fr-FR"/>
        </w:rPr>
        <w:t>,</w:t>
      </w:r>
    </w:p>
    <w:p w:rsidR="00737889" w:rsidRPr="00EF0E92" w:rsidRDefault="00737889" w:rsidP="00EF0E92">
      <w:pPr>
        <w:pStyle w:val="ECHRPara"/>
        <w:rPr>
          <w:lang w:val="fr-FR"/>
        </w:rPr>
      </w:pPr>
      <w:r w:rsidRPr="00EF0E92">
        <w:rPr>
          <w:lang w:val="fr-FR"/>
        </w:rPr>
        <w:t xml:space="preserve">Après en avoir délibéré en chambre du conseil le </w:t>
      </w:r>
      <w:r w:rsidR="009F13D7" w:rsidRPr="00EF0E92">
        <w:rPr>
          <w:lang w:val="fr-FR"/>
        </w:rPr>
        <w:t>28 février 2017</w:t>
      </w:r>
      <w:r w:rsidRPr="00EF0E92">
        <w:rPr>
          <w:lang w:val="fr-FR"/>
        </w:rPr>
        <w:t>,</w:t>
      </w:r>
    </w:p>
    <w:p w:rsidR="00737889" w:rsidRPr="00EF0E92" w:rsidRDefault="00737889" w:rsidP="00EF0E92">
      <w:pPr>
        <w:pStyle w:val="ECHRPara"/>
        <w:rPr>
          <w:lang w:val="fr-FR"/>
        </w:rPr>
      </w:pPr>
      <w:r w:rsidRPr="00EF0E92">
        <w:rPr>
          <w:lang w:val="fr-FR"/>
        </w:rPr>
        <w:t>Rend l</w:t>
      </w:r>
      <w:r w:rsidR="00EF0E92" w:rsidRPr="00EF0E92">
        <w:rPr>
          <w:lang w:val="fr-FR"/>
        </w:rPr>
        <w:t>’</w:t>
      </w:r>
      <w:r w:rsidRPr="00EF0E92">
        <w:rPr>
          <w:lang w:val="fr-FR"/>
        </w:rPr>
        <w:t>arrêt que voici, adopté à cette date :</w:t>
      </w:r>
    </w:p>
    <w:p w:rsidR="00737889" w:rsidRPr="00EF0E92" w:rsidRDefault="00737889" w:rsidP="00EF0E92">
      <w:pPr>
        <w:pStyle w:val="ECHRTitle1"/>
        <w:rPr>
          <w:lang w:val="fr-FR"/>
        </w:rPr>
      </w:pPr>
      <w:r w:rsidRPr="00EF0E92">
        <w:rPr>
          <w:lang w:val="fr-FR"/>
        </w:rPr>
        <w:t>PROCÉDURE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w:t>
      </w:r>
      <w:r w:rsidRPr="00EF0E92">
        <w:rPr>
          <w:lang w:val="fr-FR"/>
        </w:rPr>
        <w:fldChar w:fldCharType="end"/>
      </w:r>
      <w:r w:rsidRPr="00EF0E92">
        <w:rPr>
          <w:lang w:val="fr-FR"/>
        </w:rPr>
        <w:t>.  À l</w:t>
      </w:r>
      <w:r w:rsidR="00EF0E92" w:rsidRPr="00EF0E92">
        <w:rPr>
          <w:lang w:val="fr-FR"/>
        </w:rPr>
        <w:t>’</w:t>
      </w:r>
      <w:r w:rsidRPr="00EF0E92">
        <w:rPr>
          <w:lang w:val="fr-FR"/>
        </w:rPr>
        <w:t>origine de l</w:t>
      </w:r>
      <w:r w:rsidR="00EF0E92" w:rsidRPr="00EF0E92">
        <w:rPr>
          <w:lang w:val="fr-FR"/>
        </w:rPr>
        <w:t>’</w:t>
      </w:r>
      <w:r w:rsidRPr="00EF0E92">
        <w:rPr>
          <w:lang w:val="fr-FR"/>
        </w:rPr>
        <w:t>affaire se trouve une requête (n</w:t>
      </w:r>
      <w:r w:rsidRPr="00EF0E92">
        <w:rPr>
          <w:vertAlign w:val="superscript"/>
          <w:lang w:val="fr-FR"/>
        </w:rPr>
        <w:t>o</w:t>
      </w:r>
      <w:r w:rsidRPr="00EF0E92">
        <w:rPr>
          <w:lang w:val="fr-FR"/>
        </w:rPr>
        <w:t xml:space="preserve"> 71660/14) dirigée contre la République italienne et dont un ressortissant de cet État, M. Pierpaolo Endrizzi (« le requérant »), a saisi la Cour le 5 novembre 2014 en vertu de l</w:t>
      </w:r>
      <w:r w:rsidR="00EF0E92" w:rsidRPr="00EF0E92">
        <w:rPr>
          <w:lang w:val="fr-FR"/>
        </w:rPr>
        <w:t>’</w:t>
      </w:r>
      <w:r w:rsidRPr="00EF0E92">
        <w:rPr>
          <w:lang w:val="fr-FR"/>
        </w:rPr>
        <w:t>article 34 de la Convention de sauvegarde des droits de l</w:t>
      </w:r>
      <w:r w:rsidR="00EF0E92" w:rsidRPr="00EF0E92">
        <w:rPr>
          <w:lang w:val="fr-FR"/>
        </w:rPr>
        <w:t>’</w:t>
      </w:r>
      <w:r w:rsidRPr="00EF0E92">
        <w:rPr>
          <w:lang w:val="fr-FR"/>
        </w:rPr>
        <w:t>homme et des libertés fondamentales (« la Convention »).</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w:t>
      </w:r>
      <w:r w:rsidRPr="00EF0E92">
        <w:rPr>
          <w:lang w:val="fr-FR"/>
        </w:rPr>
        <w:fldChar w:fldCharType="end"/>
      </w:r>
      <w:r w:rsidRPr="00EF0E92">
        <w:rPr>
          <w:lang w:val="fr-FR"/>
        </w:rPr>
        <w:t>.  Le requérant a été représenté par M</w:t>
      </w:r>
      <w:r w:rsidRPr="00EF0E92">
        <w:rPr>
          <w:vertAlign w:val="superscript"/>
          <w:lang w:val="fr-FR"/>
        </w:rPr>
        <w:t>e</w:t>
      </w:r>
      <w:r w:rsidRPr="00EF0E92">
        <w:rPr>
          <w:lang w:val="fr-FR"/>
        </w:rPr>
        <w:t xml:space="preserve"> V. Moscatelli, avocat à Cesena. Le gouvernement italien (« le Gouvernement ») a été représenté par son agent, </w:t>
      </w:r>
      <w:r w:rsidRPr="00EF0E92">
        <w:rPr>
          <w:rFonts w:ascii="Times New Roman" w:hAnsi="Times New Roman" w:cs="Times New Roman"/>
          <w:color w:val="000000"/>
          <w:lang w:val="fr-FR"/>
        </w:rPr>
        <w:t>M</w:t>
      </w:r>
      <w:r w:rsidRPr="00EF0E92">
        <w:rPr>
          <w:rFonts w:ascii="Times New Roman" w:hAnsi="Times New Roman" w:cs="Times New Roman"/>
          <w:color w:val="000000"/>
          <w:vertAlign w:val="superscript"/>
          <w:lang w:val="fr-FR"/>
        </w:rPr>
        <w:t>me</w:t>
      </w:r>
      <w:r w:rsidRPr="00EF0E92">
        <w:rPr>
          <w:rFonts w:ascii="Times New Roman" w:hAnsi="Times New Roman" w:cs="Times New Roman"/>
          <w:color w:val="000000"/>
          <w:lang w:val="fr-FR"/>
        </w:rPr>
        <w:t xml:space="preserve"> E. Spatafora</w:t>
      </w:r>
      <w:r w:rsidRPr="00EF0E92">
        <w:rPr>
          <w:lang w:val="fr-FR"/>
        </w:rPr>
        <w:t>.</w:t>
      </w:r>
    </w:p>
    <w:p w:rsidR="00737889" w:rsidRPr="00EF0E92" w:rsidRDefault="00737889" w:rsidP="00EF0E92">
      <w:pPr>
        <w:pStyle w:val="ECHRPara"/>
        <w:rPr>
          <w:szCs w:val="24"/>
          <w:lang w:val="fr-FR" w:eastAsia="en-GB"/>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w:t>
      </w:r>
      <w:r w:rsidRPr="00EF0E92">
        <w:rPr>
          <w:lang w:val="fr-FR"/>
        </w:rPr>
        <w:fldChar w:fldCharType="end"/>
      </w:r>
      <w:r w:rsidRPr="00EF0E92">
        <w:rPr>
          <w:lang w:val="fr-FR"/>
        </w:rPr>
        <w:t xml:space="preserve">.  Le </w:t>
      </w:r>
      <w:r w:rsidRPr="00EF0E92">
        <w:rPr>
          <w:szCs w:val="24"/>
          <w:lang w:val="fr-FR"/>
        </w:rPr>
        <w:t>18 mai 2016</w:t>
      </w:r>
      <w:r w:rsidRPr="00EF0E92">
        <w:rPr>
          <w:lang w:val="fr-FR"/>
        </w:rPr>
        <w:t>, la requête a été communiquée au Gouvernement.</w:t>
      </w:r>
    </w:p>
    <w:p w:rsidR="00737889" w:rsidRPr="00EF0E92" w:rsidRDefault="00737889" w:rsidP="00EF0E92">
      <w:pPr>
        <w:pStyle w:val="ECHRTitle1"/>
        <w:tabs>
          <w:tab w:val="left" w:pos="5387"/>
        </w:tabs>
        <w:rPr>
          <w:lang w:val="fr-FR"/>
        </w:rPr>
      </w:pPr>
      <w:r w:rsidRPr="00EF0E92">
        <w:rPr>
          <w:lang w:val="fr-FR"/>
        </w:rPr>
        <w:t>EN FAIT</w:t>
      </w:r>
    </w:p>
    <w:p w:rsidR="00737889" w:rsidRPr="00EF0E92" w:rsidRDefault="00737889" w:rsidP="00EF0E92">
      <w:pPr>
        <w:pStyle w:val="ECHRHeading1"/>
        <w:rPr>
          <w:lang w:val="fr-FR"/>
        </w:rPr>
      </w:pPr>
      <w:r w:rsidRPr="00EF0E92">
        <w:rPr>
          <w:lang w:val="fr-FR"/>
        </w:rPr>
        <w:t>I.  LES CIRCONSTANCES DE L</w:t>
      </w:r>
      <w:r w:rsidR="00EF0E92" w:rsidRPr="00EF0E92">
        <w:rPr>
          <w:lang w:val="fr-FR"/>
        </w:rPr>
        <w:t>’</w:t>
      </w:r>
      <w:r w:rsidRPr="00EF0E92">
        <w:rPr>
          <w:lang w:val="fr-FR"/>
        </w:rPr>
        <w:t>ESPÈCE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w:t>
      </w:r>
      <w:r w:rsidRPr="00EF0E92">
        <w:rPr>
          <w:lang w:val="fr-FR"/>
        </w:rPr>
        <w:fldChar w:fldCharType="end"/>
      </w:r>
      <w:r w:rsidRPr="00EF0E92">
        <w:rPr>
          <w:lang w:val="fr-FR"/>
        </w:rPr>
        <w:t>.  Le requérant est né en 1968 et réside à Caldes.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5</w:t>
      </w:r>
      <w:r w:rsidRPr="00EF0E92">
        <w:rPr>
          <w:lang w:val="fr-FR"/>
        </w:rPr>
        <w:fldChar w:fldCharType="end"/>
      </w:r>
      <w:r w:rsidRPr="00EF0E92">
        <w:rPr>
          <w:lang w:val="fr-FR"/>
        </w:rPr>
        <w:t>.  Les faits de la cause, tels qu</w:t>
      </w:r>
      <w:r w:rsidR="00EF0E92" w:rsidRPr="00EF0E92">
        <w:rPr>
          <w:lang w:val="fr-FR"/>
        </w:rPr>
        <w:t>’</w:t>
      </w:r>
      <w:r w:rsidRPr="00EF0E92">
        <w:rPr>
          <w:lang w:val="fr-FR"/>
        </w:rPr>
        <w:t>ils ont été exposés par le requérant, peuvent se résumer comme suit.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6</w:t>
      </w:r>
      <w:r w:rsidRPr="00EF0E92">
        <w:rPr>
          <w:lang w:val="fr-FR"/>
        </w:rPr>
        <w:fldChar w:fldCharType="end"/>
      </w:r>
      <w:r w:rsidRPr="00EF0E92">
        <w:rPr>
          <w:lang w:val="fr-FR"/>
        </w:rPr>
        <w:t>.  Du mariage du requérant avec T.L.G. naquit un enfant, G., le 11 janvier 2005. En juillet 2005, T.L.G. quitta le domicile familial avec l</w:t>
      </w:r>
      <w:r w:rsidR="00EF0E92" w:rsidRPr="00EF0E92">
        <w:rPr>
          <w:lang w:val="fr-FR"/>
        </w:rPr>
        <w:t>’</w:t>
      </w:r>
      <w:r w:rsidRPr="00EF0E92">
        <w:rPr>
          <w:lang w:val="fr-FR"/>
        </w:rPr>
        <w:t>enfant et alla vivre auprès de sa famille, en Sicile, à mille kilomètres de distance.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7</w:t>
      </w:r>
      <w:r w:rsidRPr="00EF0E92">
        <w:rPr>
          <w:lang w:val="fr-FR"/>
        </w:rPr>
        <w:fldChar w:fldCharType="end"/>
      </w:r>
      <w:r w:rsidRPr="00EF0E92">
        <w:rPr>
          <w:lang w:val="fr-FR"/>
        </w:rPr>
        <w:t>.  Le 19 juillet 2007, le juge de Trente prononça la séparation de corps. L</w:t>
      </w:r>
      <w:r w:rsidR="00EF0E92" w:rsidRPr="00EF0E92">
        <w:rPr>
          <w:lang w:val="fr-FR"/>
        </w:rPr>
        <w:t>’</w:t>
      </w:r>
      <w:r w:rsidRPr="00EF0E92">
        <w:rPr>
          <w:lang w:val="fr-FR"/>
        </w:rPr>
        <w:t xml:space="preserve">accord conclu entre les parties confiait la garde de G. à ses deux parents, </w:t>
      </w:r>
      <w:r w:rsidRPr="00EF0E92">
        <w:rPr>
          <w:lang w:val="fr-FR"/>
        </w:rPr>
        <w:lastRenderedPageBreak/>
        <w:t>fixait la résidence principale de l</w:t>
      </w:r>
      <w:r w:rsidR="00EF0E92" w:rsidRPr="00EF0E92">
        <w:rPr>
          <w:lang w:val="fr-FR"/>
        </w:rPr>
        <w:t>’</w:t>
      </w:r>
      <w:r w:rsidRPr="00EF0E92">
        <w:rPr>
          <w:lang w:val="fr-FR"/>
        </w:rPr>
        <w:t>enfant chez la mère, en Sicile, et accordait au requérant un droit de visite et d</w:t>
      </w:r>
      <w:r w:rsidR="00EF0E92" w:rsidRPr="00EF0E92">
        <w:rPr>
          <w:lang w:val="fr-FR"/>
        </w:rPr>
        <w:t>’</w:t>
      </w:r>
      <w:r w:rsidRPr="00EF0E92">
        <w:rPr>
          <w:lang w:val="fr-FR"/>
        </w:rPr>
        <w:t>hébergement très étendu.</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8</w:t>
      </w:r>
      <w:r w:rsidRPr="00EF0E92">
        <w:rPr>
          <w:lang w:val="fr-FR"/>
        </w:rPr>
        <w:fldChar w:fldCharType="end"/>
      </w:r>
      <w:r w:rsidRPr="00EF0E92">
        <w:rPr>
          <w:lang w:val="fr-FR"/>
        </w:rPr>
        <w:t>.  Dès sa séparation d</w:t>
      </w:r>
      <w:r w:rsidR="00EF0E92" w:rsidRPr="00EF0E92">
        <w:rPr>
          <w:lang w:val="fr-FR"/>
        </w:rPr>
        <w:t>’</w:t>
      </w:r>
      <w:r w:rsidRPr="00EF0E92">
        <w:rPr>
          <w:lang w:val="fr-FR"/>
        </w:rPr>
        <w:t>avec le requérant, T.L.G. manifesta une forte opposition à toute relation entre lui et G., alors âgé de deux ans.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9</w:t>
      </w:r>
      <w:r w:rsidRPr="00EF0E92">
        <w:rPr>
          <w:lang w:val="fr-FR"/>
        </w:rPr>
        <w:fldChar w:fldCharType="end"/>
      </w:r>
      <w:r w:rsidRPr="00EF0E92">
        <w:rPr>
          <w:lang w:val="fr-FR"/>
        </w:rPr>
        <w:t>.  En novembre 2007, T.L.G. déposa une plainte contre le requérant devant le parquet de Trente pour violences sexuelles sur l</w:t>
      </w:r>
      <w:r w:rsidR="00EF0E92" w:rsidRPr="00EF0E92">
        <w:rPr>
          <w:lang w:val="fr-FR"/>
        </w:rPr>
        <w:t>’</w:t>
      </w:r>
      <w:r w:rsidRPr="00EF0E92">
        <w:rPr>
          <w:lang w:val="fr-FR"/>
        </w:rPr>
        <w:t>enfant. Une enquête fut ouverte et une expertise psychophysique concernant l</w:t>
      </w:r>
      <w:r w:rsidR="00EF0E92" w:rsidRPr="00EF0E92">
        <w:rPr>
          <w:lang w:val="fr-FR"/>
        </w:rPr>
        <w:t>’</w:t>
      </w:r>
      <w:r w:rsidRPr="00EF0E92">
        <w:rPr>
          <w:lang w:val="fr-FR"/>
        </w:rPr>
        <w:t>enfant fut menée.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10</w:t>
      </w:r>
      <w:r w:rsidRPr="00EF0E92">
        <w:rPr>
          <w:lang w:val="fr-FR"/>
        </w:rPr>
        <w:fldChar w:fldCharType="end"/>
      </w:r>
      <w:r w:rsidRPr="00EF0E92">
        <w:rPr>
          <w:lang w:val="fr-FR"/>
        </w:rPr>
        <w:t>.  Le 10 mars 2008, en l</w:t>
      </w:r>
      <w:r w:rsidR="00EF0E92" w:rsidRPr="00EF0E92">
        <w:rPr>
          <w:lang w:val="fr-FR"/>
        </w:rPr>
        <w:t>’</w:t>
      </w:r>
      <w:r w:rsidRPr="00EF0E92">
        <w:rPr>
          <w:lang w:val="fr-FR"/>
        </w:rPr>
        <w:t>absence de preuve que le requérant s</w:t>
      </w:r>
      <w:r w:rsidR="00EF0E92" w:rsidRPr="00EF0E92">
        <w:rPr>
          <w:lang w:val="fr-FR"/>
        </w:rPr>
        <w:t>’</w:t>
      </w:r>
      <w:r w:rsidRPr="00EF0E92">
        <w:rPr>
          <w:lang w:val="fr-FR"/>
        </w:rPr>
        <w:t>était livré à des attouchements sexuels sur l</w:t>
      </w:r>
      <w:r w:rsidR="00EF0E92" w:rsidRPr="00EF0E92">
        <w:rPr>
          <w:lang w:val="fr-FR"/>
        </w:rPr>
        <w:t>’</w:t>
      </w:r>
      <w:r w:rsidRPr="00EF0E92">
        <w:rPr>
          <w:lang w:val="fr-FR"/>
        </w:rPr>
        <w:t>enfant, la plainte fut classée. Selon l</w:t>
      </w:r>
      <w:r w:rsidR="00EF0E92" w:rsidRPr="00EF0E92">
        <w:rPr>
          <w:lang w:val="fr-FR"/>
        </w:rPr>
        <w:t>’</w:t>
      </w:r>
      <w:r w:rsidRPr="00EF0E92">
        <w:rPr>
          <w:lang w:val="fr-FR"/>
        </w:rPr>
        <w:t>expert, T.L.G. était angoissée à l</w:t>
      </w:r>
      <w:r w:rsidR="00EF0E92" w:rsidRPr="00EF0E92">
        <w:rPr>
          <w:lang w:val="fr-FR"/>
        </w:rPr>
        <w:t>’</w:t>
      </w:r>
      <w:r w:rsidRPr="00EF0E92">
        <w:rPr>
          <w:lang w:val="fr-FR"/>
        </w:rPr>
        <w:t>idée que le requérant pût voir l</w:t>
      </w:r>
      <w:r w:rsidR="00EF0E92" w:rsidRPr="00EF0E92">
        <w:rPr>
          <w:lang w:val="fr-FR"/>
        </w:rPr>
        <w:t>’</w:t>
      </w:r>
      <w:r w:rsidRPr="00EF0E92">
        <w:rPr>
          <w:lang w:val="fr-FR"/>
        </w:rPr>
        <w:t>enfant</w:t>
      </w:r>
      <w:r w:rsidR="005427F8" w:rsidRPr="00EF0E92">
        <w:rPr>
          <w:lang w:val="fr-FR"/>
        </w:rPr>
        <w:t>. L</w:t>
      </w:r>
      <w:r w:rsidR="00EF0E92" w:rsidRPr="00EF0E92">
        <w:rPr>
          <w:lang w:val="fr-FR"/>
        </w:rPr>
        <w:t>’</w:t>
      </w:r>
      <w:r w:rsidR="005427F8" w:rsidRPr="00EF0E92">
        <w:rPr>
          <w:lang w:val="fr-FR"/>
        </w:rPr>
        <w:t>expert estima</w:t>
      </w:r>
      <w:r w:rsidRPr="00EF0E92">
        <w:rPr>
          <w:lang w:val="fr-FR"/>
        </w:rPr>
        <w:t>, pour cette raison, que l</w:t>
      </w:r>
      <w:r w:rsidR="00EF0E92" w:rsidRPr="00EF0E92">
        <w:rPr>
          <w:lang w:val="fr-FR"/>
        </w:rPr>
        <w:t>’</w:t>
      </w:r>
      <w:r w:rsidRPr="00EF0E92">
        <w:rPr>
          <w:lang w:val="fr-FR"/>
        </w:rPr>
        <w:t>enfant devait passer de longues périodes avec son père pour nouer une relation avec lui.</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11</w:t>
      </w:r>
      <w:r w:rsidRPr="00EF0E92">
        <w:rPr>
          <w:lang w:val="fr-FR"/>
        </w:rPr>
        <w:fldChar w:fldCharType="end"/>
      </w:r>
      <w:r w:rsidRPr="00EF0E92">
        <w:rPr>
          <w:lang w:val="fr-FR"/>
        </w:rPr>
        <w:t>.  Le 3 mars 2008, T.L.G. déposa une autre plainte pénale à Catane contre le requérant pour violences sexuelles sur l</w:t>
      </w:r>
      <w:r w:rsidR="00EF0E92" w:rsidRPr="00EF0E92">
        <w:rPr>
          <w:lang w:val="fr-FR"/>
        </w:rPr>
        <w:t>’</w:t>
      </w:r>
      <w:r w:rsidRPr="00EF0E92">
        <w:rPr>
          <w:lang w:val="fr-FR"/>
        </w:rPr>
        <w:t>enfant.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12</w:t>
      </w:r>
      <w:r w:rsidRPr="00EF0E92">
        <w:rPr>
          <w:lang w:val="fr-FR"/>
        </w:rPr>
        <w:fldChar w:fldCharType="end"/>
      </w:r>
      <w:r w:rsidRPr="00EF0E92">
        <w:rPr>
          <w:lang w:val="fr-FR"/>
        </w:rPr>
        <w:t>.  Trois ans plus tard, le 10 mai 2011, la plainte pénale fut classée. La décision de classement soulignait la difficulté de la mère à se séparer de l</w:t>
      </w:r>
      <w:r w:rsidR="00EF0E92" w:rsidRPr="00EF0E92">
        <w:rPr>
          <w:lang w:val="fr-FR"/>
        </w:rPr>
        <w:t>’</w:t>
      </w:r>
      <w:r w:rsidRPr="00EF0E92">
        <w:rPr>
          <w:lang w:val="fr-FR"/>
        </w:rPr>
        <w:t>enfant afin de permettre à ce dernier de nouer une relation avec le requérant.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13</w:t>
      </w:r>
      <w:r w:rsidRPr="00EF0E92">
        <w:rPr>
          <w:lang w:val="fr-FR"/>
        </w:rPr>
        <w:fldChar w:fldCharType="end"/>
      </w:r>
      <w:r w:rsidRPr="00EF0E92">
        <w:rPr>
          <w:lang w:val="fr-FR"/>
        </w:rPr>
        <w:t>.  Entre-temps, alors que l</w:t>
      </w:r>
      <w:r w:rsidR="00EF0E92" w:rsidRPr="00EF0E92">
        <w:rPr>
          <w:lang w:val="fr-FR"/>
        </w:rPr>
        <w:t>’</w:t>
      </w:r>
      <w:r w:rsidRPr="00EF0E92">
        <w:rPr>
          <w:lang w:val="fr-FR"/>
        </w:rPr>
        <w:t>enquête pénale consécutive au dépôt de la deuxième plainte était en cours, le tribunal pour enfants de Catane (« le tribunal ») avait ouvert une procédure afin de déchoir le requérant de son autorité parentale.</w:t>
      </w:r>
    </w:p>
    <w:p w:rsidR="00737889" w:rsidRPr="00EF0E92" w:rsidRDefault="00A964EC"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14</w:t>
      </w:r>
      <w:r w:rsidRPr="00EF0E92">
        <w:rPr>
          <w:lang w:val="fr-FR"/>
        </w:rPr>
        <w:fldChar w:fldCharType="end"/>
      </w:r>
      <w:r w:rsidRPr="00EF0E92">
        <w:rPr>
          <w:lang w:val="fr-FR"/>
        </w:rPr>
        <w:t>.  </w:t>
      </w:r>
      <w:r w:rsidR="00737889" w:rsidRPr="00EF0E92">
        <w:rPr>
          <w:lang w:val="fr-FR"/>
        </w:rPr>
        <w:t>Le 22 mai 2008 le tribunal ordonna que les rencontres entre le requérant et son enfant se déroulent en milieu protégé.</w:t>
      </w:r>
    </w:p>
    <w:p w:rsidR="00A964EC"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15</w:t>
      </w:r>
      <w:r w:rsidRPr="00EF0E92">
        <w:rPr>
          <w:lang w:val="fr-FR"/>
        </w:rPr>
        <w:fldChar w:fldCharType="end"/>
      </w:r>
      <w:r w:rsidRPr="00EF0E92">
        <w:rPr>
          <w:lang w:val="fr-FR"/>
        </w:rPr>
        <w:t>.  Le 9 août 2008, les rencontres entre G. et le requérant avaient été suspendues en raison de l</w:t>
      </w:r>
      <w:r w:rsidR="00EF0E92" w:rsidRPr="00EF0E92">
        <w:rPr>
          <w:lang w:val="fr-FR"/>
        </w:rPr>
        <w:t>’</w:t>
      </w:r>
      <w:r w:rsidRPr="00EF0E92">
        <w:rPr>
          <w:lang w:val="fr-FR"/>
        </w:rPr>
        <w:t>état psychologique perturbé de l</w:t>
      </w:r>
      <w:r w:rsidR="00EF0E92" w:rsidRPr="00EF0E92">
        <w:rPr>
          <w:lang w:val="fr-FR"/>
        </w:rPr>
        <w:t>’</w:t>
      </w:r>
      <w:r w:rsidRPr="00EF0E92">
        <w:rPr>
          <w:lang w:val="fr-FR"/>
        </w:rPr>
        <w:t>enfant.</w:t>
      </w:r>
    </w:p>
    <w:bookmarkStart w:id="1" w:name="para16"/>
    <w:p w:rsidR="00A964EC" w:rsidRPr="00EF0E92" w:rsidRDefault="00A964EC"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16</w:t>
      </w:r>
      <w:r w:rsidRPr="00EF0E92">
        <w:rPr>
          <w:lang w:val="fr-FR"/>
        </w:rPr>
        <w:fldChar w:fldCharType="end"/>
      </w:r>
      <w:bookmarkEnd w:id="1"/>
      <w:r w:rsidRPr="00EF0E92">
        <w:rPr>
          <w:lang w:val="fr-FR"/>
        </w:rPr>
        <w:t>.  Le 11 mai 2009, l</w:t>
      </w:r>
      <w:r w:rsidR="00EF0E92" w:rsidRPr="00EF0E92">
        <w:rPr>
          <w:lang w:val="fr-FR"/>
        </w:rPr>
        <w:t>’</w:t>
      </w:r>
      <w:r w:rsidRPr="00EF0E92">
        <w:rPr>
          <w:lang w:val="fr-FR"/>
        </w:rPr>
        <w:t>expert constata que le requérant et T.L.G. étaient en mesure d</w:t>
      </w:r>
      <w:r w:rsidR="00EF0E92" w:rsidRPr="00EF0E92">
        <w:rPr>
          <w:lang w:val="fr-FR"/>
        </w:rPr>
        <w:t>’</w:t>
      </w:r>
      <w:r w:rsidRPr="00EF0E92">
        <w:rPr>
          <w:lang w:val="fr-FR"/>
        </w:rPr>
        <w:t>exercer leur rôle parental.</w:t>
      </w:r>
    </w:p>
    <w:p w:rsidR="000E09A4"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17</w:t>
      </w:r>
      <w:r w:rsidRPr="00EF0E92">
        <w:rPr>
          <w:lang w:val="fr-FR"/>
        </w:rPr>
        <w:fldChar w:fldCharType="end"/>
      </w:r>
      <w:r w:rsidRPr="00EF0E92">
        <w:rPr>
          <w:lang w:val="fr-FR"/>
        </w:rPr>
        <w:t>.  </w:t>
      </w:r>
      <w:r w:rsidR="000E09A4" w:rsidRPr="00EF0E92">
        <w:rPr>
          <w:lang w:val="fr-FR"/>
        </w:rPr>
        <w:t>Le 10 juin 2009, le parquet donna son avis favorable aux rencontres entre le requérant et l</w:t>
      </w:r>
      <w:r w:rsidR="00EF0E92" w:rsidRPr="00EF0E92">
        <w:rPr>
          <w:lang w:val="fr-FR"/>
        </w:rPr>
        <w:t>’</w:t>
      </w:r>
      <w:r w:rsidR="000E09A4" w:rsidRPr="00EF0E92">
        <w:rPr>
          <w:lang w:val="fr-FR"/>
        </w:rPr>
        <w:t>enfant.</w:t>
      </w:r>
    </w:p>
    <w:p w:rsidR="000E09A4"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18</w:t>
      </w:r>
      <w:r w:rsidRPr="00EF0E92">
        <w:rPr>
          <w:lang w:val="fr-FR"/>
        </w:rPr>
        <w:fldChar w:fldCharType="end"/>
      </w:r>
      <w:r w:rsidRPr="00EF0E92">
        <w:rPr>
          <w:lang w:val="fr-FR"/>
        </w:rPr>
        <w:t>.  </w:t>
      </w:r>
      <w:r w:rsidR="000E09A4" w:rsidRPr="00EF0E92">
        <w:rPr>
          <w:lang w:val="fr-FR"/>
        </w:rPr>
        <w:t>Le 16 juillet 2009, le tribunal avait demandé aux services sociaux d</w:t>
      </w:r>
      <w:r w:rsidR="00EF0E92" w:rsidRPr="00EF0E92">
        <w:rPr>
          <w:lang w:val="fr-FR"/>
        </w:rPr>
        <w:t>’</w:t>
      </w:r>
      <w:r w:rsidR="000E09A4" w:rsidRPr="00EF0E92">
        <w:rPr>
          <w:lang w:val="fr-FR"/>
        </w:rPr>
        <w:t>observer l</w:t>
      </w:r>
      <w:r w:rsidR="00EF0E92" w:rsidRPr="00EF0E92">
        <w:rPr>
          <w:lang w:val="fr-FR"/>
        </w:rPr>
        <w:t>’</w:t>
      </w:r>
      <w:r w:rsidR="000E09A4" w:rsidRPr="00EF0E92">
        <w:rPr>
          <w:lang w:val="fr-FR"/>
        </w:rPr>
        <w:t>enfant et de rendre un rapport sur la relation de celui-ci avec le requérant.</w:t>
      </w:r>
    </w:p>
    <w:bookmarkStart w:id="2" w:name="para19"/>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19</w:t>
      </w:r>
      <w:r w:rsidRPr="00EF0E92">
        <w:rPr>
          <w:lang w:val="fr-FR"/>
        </w:rPr>
        <w:fldChar w:fldCharType="end"/>
      </w:r>
      <w:bookmarkEnd w:id="2"/>
      <w:r w:rsidRPr="00EF0E92">
        <w:rPr>
          <w:lang w:val="fr-FR"/>
        </w:rPr>
        <w:t>.  Le 1</w:t>
      </w:r>
      <w:r w:rsidRPr="00EF0E92">
        <w:rPr>
          <w:vertAlign w:val="superscript"/>
          <w:lang w:val="fr-FR"/>
        </w:rPr>
        <w:t>er</w:t>
      </w:r>
      <w:r w:rsidRPr="00EF0E92">
        <w:rPr>
          <w:lang w:val="fr-FR"/>
        </w:rPr>
        <w:t xml:space="preserve"> octobre 2009, le tribunal avait chargé les services sociaux d</w:t>
      </w:r>
      <w:r w:rsidR="00EF0E92" w:rsidRPr="00EF0E92">
        <w:rPr>
          <w:lang w:val="fr-FR"/>
        </w:rPr>
        <w:t>’</w:t>
      </w:r>
      <w:r w:rsidRPr="00EF0E92">
        <w:rPr>
          <w:lang w:val="fr-FR"/>
        </w:rPr>
        <w:t>aider T.L.G. à exercer son rôle de parent et à améliorer ses compétences parentales. Entre novembre 2009 et octobre 2010, le requérant avait déposé devant ce tribunal cinq recours urgents afin de pouvoir rencontrer son fils.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20</w:t>
      </w:r>
      <w:r w:rsidRPr="00EF0E92">
        <w:rPr>
          <w:lang w:val="fr-FR"/>
        </w:rPr>
        <w:fldChar w:fldCharType="end"/>
      </w:r>
      <w:r w:rsidRPr="00EF0E92">
        <w:rPr>
          <w:lang w:val="fr-FR"/>
        </w:rPr>
        <w:t>.  En janvier 2010, une rencontre entre le requérant et l</w:t>
      </w:r>
      <w:r w:rsidR="00EF0E92" w:rsidRPr="00EF0E92">
        <w:rPr>
          <w:lang w:val="fr-FR"/>
        </w:rPr>
        <w:t>’</w:t>
      </w:r>
      <w:r w:rsidRPr="00EF0E92">
        <w:rPr>
          <w:lang w:val="fr-FR"/>
        </w:rPr>
        <w:t>enfant avait été organisée. Elle n</w:t>
      </w:r>
      <w:r w:rsidR="00EF0E92" w:rsidRPr="00EF0E92">
        <w:rPr>
          <w:lang w:val="fr-FR"/>
        </w:rPr>
        <w:t>’</w:t>
      </w:r>
      <w:r w:rsidRPr="00EF0E92">
        <w:rPr>
          <w:lang w:val="fr-FR"/>
        </w:rPr>
        <w:t>avait duré que quelques minutes au motif que l</w:t>
      </w:r>
      <w:r w:rsidR="00EF0E92" w:rsidRPr="00EF0E92">
        <w:rPr>
          <w:lang w:val="fr-FR"/>
        </w:rPr>
        <w:t>’</w:t>
      </w:r>
      <w:r w:rsidRPr="00EF0E92">
        <w:rPr>
          <w:lang w:val="fr-FR"/>
        </w:rPr>
        <w:t>enfant était très agité.</w:t>
      </w:r>
    </w:p>
    <w:bookmarkStart w:id="3" w:name="para17"/>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21</w:t>
      </w:r>
      <w:r w:rsidRPr="00EF0E92">
        <w:rPr>
          <w:lang w:val="fr-FR"/>
        </w:rPr>
        <w:fldChar w:fldCharType="end"/>
      </w:r>
      <w:bookmarkEnd w:id="3"/>
      <w:r w:rsidRPr="00EF0E92">
        <w:rPr>
          <w:lang w:val="fr-FR"/>
        </w:rPr>
        <w:t>.  Le 26 octobre 2011, le tribunal rendit une décision dans laquelle il observait que les experts avaient exclu que l</w:t>
      </w:r>
      <w:r w:rsidR="00EF0E92" w:rsidRPr="00EF0E92">
        <w:rPr>
          <w:lang w:val="fr-FR"/>
        </w:rPr>
        <w:t>’</w:t>
      </w:r>
      <w:r w:rsidRPr="00EF0E92">
        <w:rPr>
          <w:lang w:val="fr-FR"/>
        </w:rPr>
        <w:t>enfant eût subi des violences sexuelles, mais conclu qu</w:t>
      </w:r>
      <w:r w:rsidR="00EF0E92" w:rsidRPr="00EF0E92">
        <w:rPr>
          <w:lang w:val="fr-FR"/>
        </w:rPr>
        <w:t>’</w:t>
      </w:r>
      <w:r w:rsidRPr="00EF0E92">
        <w:rPr>
          <w:lang w:val="fr-FR"/>
        </w:rPr>
        <w:t xml:space="preserve">il souffrait de la situation conflictuelle existant </w:t>
      </w:r>
      <w:r w:rsidRPr="00EF0E92">
        <w:rPr>
          <w:lang w:val="fr-FR"/>
        </w:rPr>
        <w:lastRenderedPageBreak/>
        <w:t>entre ses parents et qu</w:t>
      </w:r>
      <w:r w:rsidR="00EF0E92" w:rsidRPr="00EF0E92">
        <w:rPr>
          <w:lang w:val="fr-FR"/>
        </w:rPr>
        <w:t>’</w:t>
      </w:r>
      <w:r w:rsidRPr="00EF0E92">
        <w:rPr>
          <w:lang w:val="fr-FR"/>
        </w:rPr>
        <w:t>il était victime d</w:t>
      </w:r>
      <w:r w:rsidR="00EF0E92" w:rsidRPr="00EF0E92">
        <w:rPr>
          <w:lang w:val="fr-FR"/>
        </w:rPr>
        <w:t>’</w:t>
      </w:r>
      <w:r w:rsidRPr="00EF0E92">
        <w:rPr>
          <w:lang w:val="fr-FR"/>
        </w:rPr>
        <w:t>une forme d</w:t>
      </w:r>
      <w:r w:rsidR="00EF0E92" w:rsidRPr="00EF0E92">
        <w:rPr>
          <w:lang w:val="fr-FR"/>
        </w:rPr>
        <w:t>’</w:t>
      </w:r>
      <w:r w:rsidRPr="00EF0E92">
        <w:rPr>
          <w:lang w:val="fr-FR"/>
        </w:rPr>
        <w:t xml:space="preserve">abus psychologique. </w:t>
      </w:r>
      <w:r w:rsidR="005427F8" w:rsidRPr="00EF0E92">
        <w:rPr>
          <w:lang w:val="fr-FR"/>
        </w:rPr>
        <w:t xml:space="preserve">Le tribunal </w:t>
      </w:r>
      <w:r w:rsidRPr="00EF0E92">
        <w:rPr>
          <w:lang w:val="fr-FR"/>
        </w:rPr>
        <w:t>estimait que, compte tenu du classement de la plainte pénale, il n</w:t>
      </w:r>
      <w:r w:rsidR="00EF0E92" w:rsidRPr="00EF0E92">
        <w:rPr>
          <w:lang w:val="fr-FR"/>
        </w:rPr>
        <w:t>’</w:t>
      </w:r>
      <w:r w:rsidRPr="00EF0E92">
        <w:rPr>
          <w:lang w:val="fr-FR"/>
        </w:rPr>
        <w:t>y avait plus lieu d</w:t>
      </w:r>
      <w:r w:rsidR="00EF0E92" w:rsidRPr="00EF0E92">
        <w:rPr>
          <w:lang w:val="fr-FR"/>
        </w:rPr>
        <w:t>’</w:t>
      </w:r>
      <w:r w:rsidRPr="00EF0E92">
        <w:rPr>
          <w:lang w:val="fr-FR"/>
        </w:rPr>
        <w:t>interdire les contacts entre le requérant et son fils.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22</w:t>
      </w:r>
      <w:r w:rsidRPr="00EF0E92">
        <w:rPr>
          <w:lang w:val="fr-FR"/>
        </w:rPr>
        <w:fldChar w:fldCharType="end"/>
      </w:r>
      <w:r w:rsidRPr="00EF0E92">
        <w:rPr>
          <w:lang w:val="fr-FR"/>
        </w:rPr>
        <w:t>.  Il relevait également que les psychiatres avaient souligné la situation difficile dans laquelle se trouvait l</w:t>
      </w:r>
      <w:r w:rsidR="00EF0E92" w:rsidRPr="00EF0E92">
        <w:rPr>
          <w:lang w:val="fr-FR"/>
        </w:rPr>
        <w:t>’</w:t>
      </w:r>
      <w:r w:rsidRPr="00EF0E92">
        <w:rPr>
          <w:lang w:val="fr-FR"/>
        </w:rPr>
        <w:t>enfant, due au fait que sa mère lui avait transmis son stress et ses angoisses liés à ses contacts avec le requérant.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23</w:t>
      </w:r>
      <w:r w:rsidRPr="00EF0E92">
        <w:rPr>
          <w:lang w:val="fr-FR"/>
        </w:rPr>
        <w:fldChar w:fldCharType="end"/>
      </w:r>
      <w:r w:rsidRPr="00EF0E92">
        <w:rPr>
          <w:lang w:val="fr-FR"/>
        </w:rPr>
        <w:t>.  </w:t>
      </w:r>
      <w:r w:rsidR="005427F8" w:rsidRPr="00EF0E92">
        <w:rPr>
          <w:lang w:val="fr-FR"/>
        </w:rPr>
        <w:t xml:space="preserve">Le tribunal </w:t>
      </w:r>
      <w:r w:rsidRPr="00EF0E92">
        <w:rPr>
          <w:lang w:val="fr-FR"/>
        </w:rPr>
        <w:t xml:space="preserve">décida </w:t>
      </w:r>
      <w:r w:rsidR="005427F8" w:rsidRPr="00EF0E92">
        <w:rPr>
          <w:lang w:val="fr-FR"/>
        </w:rPr>
        <w:t xml:space="preserve">enfin </w:t>
      </w:r>
      <w:r w:rsidRPr="00EF0E92">
        <w:rPr>
          <w:lang w:val="fr-FR"/>
        </w:rPr>
        <w:t>que l</w:t>
      </w:r>
      <w:r w:rsidR="00EF0E92" w:rsidRPr="00EF0E92">
        <w:rPr>
          <w:lang w:val="fr-FR"/>
        </w:rPr>
        <w:t>’</w:t>
      </w:r>
      <w:r w:rsidRPr="00EF0E92">
        <w:rPr>
          <w:lang w:val="fr-FR"/>
        </w:rPr>
        <w:t>enfant devait suivre un parcours thérapeutique auprès du service de neuropsychiatrie de la ville de Acireale et que le requérant pourrait le rencontrer selon les modalités fixées par ce service.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24</w:t>
      </w:r>
      <w:r w:rsidRPr="00EF0E92">
        <w:rPr>
          <w:lang w:val="fr-FR"/>
        </w:rPr>
        <w:fldChar w:fldCharType="end"/>
      </w:r>
      <w:r w:rsidRPr="00EF0E92">
        <w:rPr>
          <w:lang w:val="fr-FR"/>
        </w:rPr>
        <w:t xml:space="preserve">.  Le requérant interjeta appel de cette décision, en </w:t>
      </w:r>
      <w:r w:rsidR="009D1C24" w:rsidRPr="00EF0E92">
        <w:rPr>
          <w:lang w:val="fr-FR"/>
        </w:rPr>
        <w:t>demandant,</w:t>
      </w:r>
      <w:r w:rsidRPr="00EF0E92">
        <w:rPr>
          <w:lang w:val="fr-FR"/>
        </w:rPr>
        <w:t xml:space="preserve"> en particulier, de suspendre l</w:t>
      </w:r>
      <w:r w:rsidR="00EF0E92" w:rsidRPr="00EF0E92">
        <w:rPr>
          <w:lang w:val="fr-FR"/>
        </w:rPr>
        <w:t>’</w:t>
      </w:r>
      <w:r w:rsidRPr="00EF0E92">
        <w:rPr>
          <w:lang w:val="fr-FR"/>
        </w:rPr>
        <w:t>autorité parental de T.L.G.. Le 5 avril 2012, un psychiatre fut nommé.</w:t>
      </w:r>
    </w:p>
    <w:bookmarkStart w:id="4" w:name="para23"/>
    <w:bookmarkStart w:id="5" w:name="para21"/>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25</w:t>
      </w:r>
      <w:r w:rsidRPr="00EF0E92">
        <w:rPr>
          <w:lang w:val="fr-FR"/>
        </w:rPr>
        <w:fldChar w:fldCharType="end"/>
      </w:r>
      <w:bookmarkEnd w:id="4"/>
      <w:bookmarkEnd w:id="5"/>
      <w:r w:rsidRPr="00EF0E92">
        <w:rPr>
          <w:lang w:val="fr-FR"/>
        </w:rPr>
        <w:t>.  Par une décision du 2 janvier 2013, la cour d</w:t>
      </w:r>
      <w:r w:rsidR="00EF0E92" w:rsidRPr="00EF0E92">
        <w:rPr>
          <w:lang w:val="fr-FR"/>
        </w:rPr>
        <w:t>’</w:t>
      </w:r>
      <w:r w:rsidRPr="00EF0E92">
        <w:rPr>
          <w:lang w:val="fr-FR"/>
        </w:rPr>
        <w:t>appel, après avoir souligné que l</w:t>
      </w:r>
      <w:r w:rsidR="00EF0E92" w:rsidRPr="00EF0E92">
        <w:rPr>
          <w:lang w:val="fr-FR"/>
        </w:rPr>
        <w:t>’</w:t>
      </w:r>
      <w:r w:rsidRPr="00EF0E92">
        <w:rPr>
          <w:lang w:val="fr-FR"/>
        </w:rPr>
        <w:t>enfant subissait la tension émotive de sa mère et qu</w:t>
      </w:r>
      <w:r w:rsidR="00EF0E92" w:rsidRPr="00EF0E92">
        <w:rPr>
          <w:lang w:val="fr-FR"/>
        </w:rPr>
        <w:t>’</w:t>
      </w:r>
      <w:r w:rsidRPr="00EF0E92">
        <w:rPr>
          <w:lang w:val="fr-FR"/>
        </w:rPr>
        <w:t>il avait pour cette raison refusé de voir le requérant, rejeta le recours de ce dernier. Elle souligna également la nécessité de prendre des mesures en vue de reconstruire une relation désormais compromise, selon elle, entre le requérant et son fils et chargea le service de neuropsychiatrie d</w:t>
      </w:r>
      <w:r w:rsidR="00EF0E92" w:rsidRPr="00EF0E92">
        <w:rPr>
          <w:lang w:val="fr-FR"/>
        </w:rPr>
        <w:t>’</w:t>
      </w:r>
      <w:r w:rsidRPr="00EF0E92">
        <w:rPr>
          <w:lang w:val="fr-FR"/>
        </w:rPr>
        <w:t>un suivi attentif de la situation.</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26</w:t>
      </w:r>
      <w:r w:rsidRPr="00EF0E92">
        <w:rPr>
          <w:lang w:val="fr-FR"/>
        </w:rPr>
        <w:fldChar w:fldCharType="end"/>
      </w:r>
      <w:r w:rsidRPr="00EF0E92">
        <w:rPr>
          <w:lang w:val="fr-FR"/>
        </w:rPr>
        <w:t>.  Par une décision du 10 décembre 2015, le tribunal de Catane, chargé de se prononcer sur le divorce du requérant et de T.L.G., après avoir observé que l</w:t>
      </w:r>
      <w:r w:rsidR="00EF0E92" w:rsidRPr="00EF0E92">
        <w:rPr>
          <w:lang w:val="fr-FR"/>
        </w:rPr>
        <w:t>’</w:t>
      </w:r>
      <w:r w:rsidRPr="00EF0E92">
        <w:rPr>
          <w:lang w:val="fr-FR"/>
        </w:rPr>
        <w:t>enfant se trouvait dans une situation très difficile en raison de l</w:t>
      </w:r>
      <w:r w:rsidR="00EF0E92" w:rsidRPr="00EF0E92">
        <w:rPr>
          <w:lang w:val="fr-FR"/>
        </w:rPr>
        <w:t>’</w:t>
      </w:r>
      <w:r w:rsidRPr="00EF0E92">
        <w:rPr>
          <w:lang w:val="fr-FR"/>
        </w:rPr>
        <w:t>absence de contacts avec son père depuis plusieurs années, demanda au service de neuropsychiatrie de Acireale de l</w:t>
      </w:r>
      <w:r w:rsidR="00EF0E92" w:rsidRPr="00EF0E92">
        <w:rPr>
          <w:lang w:val="fr-FR"/>
        </w:rPr>
        <w:t>’</w:t>
      </w:r>
      <w:r w:rsidRPr="00EF0E92">
        <w:rPr>
          <w:lang w:val="fr-FR"/>
        </w:rPr>
        <w:t>informer des mesures qui avaient été prises en exécution de la décision du tribunal du 26 octobre 2011, et le chargea d</w:t>
      </w:r>
      <w:r w:rsidR="00EF0E92" w:rsidRPr="00EF0E92">
        <w:rPr>
          <w:lang w:val="fr-FR"/>
        </w:rPr>
        <w:t>’</w:t>
      </w:r>
      <w:r w:rsidRPr="00EF0E92">
        <w:rPr>
          <w:lang w:val="fr-FR"/>
        </w:rPr>
        <w:t>évaluer la situation de la famille, de se prononcer sur les capacités parentales du requérant et de T.L.G., de préciser pour quelles raisons G. ne voulait plus voir son père et d</w:t>
      </w:r>
      <w:r w:rsidR="00EF0E92" w:rsidRPr="00EF0E92">
        <w:rPr>
          <w:lang w:val="fr-FR"/>
        </w:rPr>
        <w:t>’</w:t>
      </w:r>
      <w:r w:rsidRPr="00EF0E92">
        <w:rPr>
          <w:lang w:val="fr-FR"/>
        </w:rPr>
        <w:t>indiquer quelle était la meilleure solution de garde pour l</w:t>
      </w:r>
      <w:r w:rsidR="00EF0E92" w:rsidRPr="00EF0E92">
        <w:rPr>
          <w:lang w:val="fr-FR"/>
        </w:rPr>
        <w:t>’</w:t>
      </w:r>
      <w:r w:rsidRPr="00EF0E92">
        <w:rPr>
          <w:lang w:val="fr-FR"/>
        </w:rPr>
        <w:t>enfant.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27</w:t>
      </w:r>
      <w:r w:rsidRPr="00EF0E92">
        <w:rPr>
          <w:lang w:val="fr-FR"/>
        </w:rPr>
        <w:fldChar w:fldCharType="end"/>
      </w:r>
      <w:r w:rsidRPr="00EF0E92">
        <w:rPr>
          <w:lang w:val="fr-FR"/>
        </w:rPr>
        <w:t>.  Le 13 janvier 2016, un rapport sur l</w:t>
      </w:r>
      <w:r w:rsidR="00EF0E92" w:rsidRPr="00EF0E92">
        <w:rPr>
          <w:lang w:val="fr-FR"/>
        </w:rPr>
        <w:t>’</w:t>
      </w:r>
      <w:r w:rsidRPr="00EF0E92">
        <w:rPr>
          <w:lang w:val="fr-FR"/>
        </w:rPr>
        <w:t>état de l</w:t>
      </w:r>
      <w:r w:rsidR="00EF0E92" w:rsidRPr="00EF0E92">
        <w:rPr>
          <w:lang w:val="fr-FR"/>
        </w:rPr>
        <w:t>’</w:t>
      </w:r>
      <w:r w:rsidRPr="00EF0E92">
        <w:rPr>
          <w:lang w:val="fr-FR"/>
        </w:rPr>
        <w:t>enfant fut déposé au greffe. Selon l</w:t>
      </w:r>
      <w:r w:rsidR="00EF0E92" w:rsidRPr="00EF0E92">
        <w:rPr>
          <w:lang w:val="fr-FR"/>
        </w:rPr>
        <w:t>’</w:t>
      </w:r>
      <w:r w:rsidRPr="00EF0E92">
        <w:rPr>
          <w:lang w:val="fr-FR"/>
        </w:rPr>
        <w:t>expert, nonobstant le classement des deux plaintes pénales formées par T.L.G., l</w:t>
      </w:r>
      <w:r w:rsidR="00EF0E92" w:rsidRPr="00EF0E92">
        <w:rPr>
          <w:lang w:val="fr-FR"/>
        </w:rPr>
        <w:t>’</w:t>
      </w:r>
      <w:r w:rsidRPr="00EF0E92">
        <w:rPr>
          <w:lang w:val="fr-FR"/>
        </w:rPr>
        <w:t>enfant était convaincu d</w:t>
      </w:r>
      <w:r w:rsidR="00EF0E92" w:rsidRPr="00EF0E92">
        <w:rPr>
          <w:lang w:val="fr-FR"/>
        </w:rPr>
        <w:t>’</w:t>
      </w:r>
      <w:r w:rsidRPr="00EF0E92">
        <w:rPr>
          <w:lang w:val="fr-FR"/>
        </w:rPr>
        <w:t>avoir subi des attouchements. En outre, le rapport mentionnait que le manque de coopération entre les parents, le fait qu</w:t>
      </w:r>
      <w:r w:rsidR="00EF0E92" w:rsidRPr="00EF0E92">
        <w:rPr>
          <w:lang w:val="fr-FR"/>
        </w:rPr>
        <w:t>’</w:t>
      </w:r>
      <w:r w:rsidRPr="00EF0E92">
        <w:rPr>
          <w:lang w:val="fr-FR"/>
        </w:rPr>
        <w:t>aucun d</w:t>
      </w:r>
      <w:r w:rsidR="00EF0E92" w:rsidRPr="00EF0E92">
        <w:rPr>
          <w:lang w:val="fr-FR"/>
        </w:rPr>
        <w:t>’</w:t>
      </w:r>
      <w:r w:rsidRPr="00EF0E92">
        <w:rPr>
          <w:lang w:val="fr-FR"/>
        </w:rPr>
        <w:t>entre eux n</w:t>
      </w:r>
      <w:r w:rsidR="00EF0E92" w:rsidRPr="00EF0E92">
        <w:rPr>
          <w:lang w:val="fr-FR"/>
        </w:rPr>
        <w:t>’</w:t>
      </w:r>
      <w:r w:rsidRPr="00EF0E92">
        <w:rPr>
          <w:lang w:val="fr-FR"/>
        </w:rPr>
        <w:t>avait suivi de procédure de médiation ni de parcours psychologique ainsi que le fait que le père vivait à mille kilomètres de distance rendaient très difficile la reprise des contacts entre ce dernier et l</w:t>
      </w:r>
      <w:r w:rsidR="00EF0E92" w:rsidRPr="00EF0E92">
        <w:rPr>
          <w:lang w:val="fr-FR"/>
        </w:rPr>
        <w:t>’</w:t>
      </w:r>
      <w:r w:rsidRPr="00EF0E92">
        <w:rPr>
          <w:lang w:val="fr-FR"/>
        </w:rPr>
        <w:t>enfant. L</w:t>
      </w:r>
      <w:r w:rsidR="00EF0E92" w:rsidRPr="00EF0E92">
        <w:rPr>
          <w:lang w:val="fr-FR"/>
        </w:rPr>
        <w:t>’</w:t>
      </w:r>
      <w:r w:rsidRPr="00EF0E92">
        <w:rPr>
          <w:lang w:val="fr-FR"/>
        </w:rPr>
        <w:t>expert suggérait toutefois une reprise des rencontres entre le requérant et son fils et la poursuite du parcours thérapeutique pour l</w:t>
      </w:r>
      <w:r w:rsidR="00EF0E92" w:rsidRPr="00EF0E92">
        <w:rPr>
          <w:lang w:val="fr-FR"/>
        </w:rPr>
        <w:t>’</w:t>
      </w:r>
      <w:r w:rsidRPr="00EF0E92">
        <w:rPr>
          <w:lang w:val="fr-FR"/>
        </w:rPr>
        <w:t>enfant.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28</w:t>
      </w:r>
      <w:r w:rsidRPr="00EF0E92">
        <w:rPr>
          <w:lang w:val="fr-FR"/>
        </w:rPr>
        <w:fldChar w:fldCharType="end"/>
      </w:r>
      <w:r w:rsidRPr="00EF0E92">
        <w:rPr>
          <w:lang w:val="fr-FR"/>
        </w:rPr>
        <w:t>.  Le 8 avril 2016, T.L.G. saisit le tribunal pour enfants afin de demander l</w:t>
      </w:r>
      <w:r w:rsidR="00EF0E92" w:rsidRPr="00EF0E92">
        <w:rPr>
          <w:lang w:val="fr-FR"/>
        </w:rPr>
        <w:t>’</w:t>
      </w:r>
      <w:r w:rsidRPr="00EF0E92">
        <w:rPr>
          <w:lang w:val="fr-FR"/>
        </w:rPr>
        <w:t>interruption de tout contact éventuel entre le requérant et son fils en raison de nouveaux soupçons de sa part d</w:t>
      </w:r>
      <w:r w:rsidR="00EF0E92" w:rsidRPr="00EF0E92">
        <w:rPr>
          <w:lang w:val="fr-FR"/>
        </w:rPr>
        <w:t>’</w:t>
      </w:r>
      <w:r w:rsidRPr="00EF0E92">
        <w:rPr>
          <w:lang w:val="fr-FR"/>
        </w:rPr>
        <w:t>attouchements sexuels.</w:t>
      </w:r>
    </w:p>
    <w:p w:rsidR="00737889" w:rsidRPr="00EF0E92" w:rsidRDefault="00737889" w:rsidP="00EF0E92">
      <w:pPr>
        <w:pStyle w:val="ECHRPara"/>
        <w:rPr>
          <w:lang w:val="fr-FR"/>
        </w:rPr>
      </w:pPr>
      <w:r w:rsidRPr="00EF0E92">
        <w:rPr>
          <w:lang w:val="fr-FR"/>
        </w:rPr>
        <w:lastRenderedPageBreak/>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29</w:t>
      </w:r>
      <w:r w:rsidRPr="00EF0E92">
        <w:rPr>
          <w:lang w:val="fr-FR"/>
        </w:rPr>
        <w:fldChar w:fldCharType="end"/>
      </w:r>
      <w:r w:rsidRPr="00EF0E92">
        <w:rPr>
          <w:lang w:val="fr-FR"/>
        </w:rPr>
        <w:t>.  Par une décision du 20 avril 2016, le tribunal pour enfants ordonna aux services sociaux de conduire une enquête sur la famille, sur l</w:t>
      </w:r>
      <w:r w:rsidR="00EF0E92" w:rsidRPr="00EF0E92">
        <w:rPr>
          <w:lang w:val="fr-FR"/>
        </w:rPr>
        <w:t>’</w:t>
      </w:r>
      <w:r w:rsidRPr="00EF0E92">
        <w:rPr>
          <w:lang w:val="fr-FR"/>
        </w:rPr>
        <w:t>enfant et sur le requérant. Le rapport fut déposé au greffe le 7 juin 2016. Il en ressortait que le requérant n</w:t>
      </w:r>
      <w:r w:rsidR="00EF0E92" w:rsidRPr="00EF0E92">
        <w:rPr>
          <w:lang w:val="fr-FR"/>
        </w:rPr>
        <w:t>’</w:t>
      </w:r>
      <w:r w:rsidRPr="00EF0E92">
        <w:rPr>
          <w:lang w:val="fr-FR"/>
        </w:rPr>
        <w:t>avait eu aucun contact avec l</w:t>
      </w:r>
      <w:r w:rsidR="00EF0E92" w:rsidRPr="00EF0E92">
        <w:rPr>
          <w:lang w:val="fr-FR"/>
        </w:rPr>
        <w:t>’</w:t>
      </w:r>
      <w:r w:rsidRPr="00EF0E92">
        <w:rPr>
          <w:lang w:val="fr-FR"/>
        </w:rPr>
        <w:t>enfant depuis 2008, hormis quelques rencontres sporadiques, et que la dernière rencontre avait eu lieu devant le juge du tribunal, le 8 juin 2016, à l</w:t>
      </w:r>
      <w:r w:rsidR="00EF0E92" w:rsidRPr="00EF0E92">
        <w:rPr>
          <w:lang w:val="fr-FR"/>
        </w:rPr>
        <w:t>’</w:t>
      </w:r>
      <w:r w:rsidRPr="00EF0E92">
        <w:rPr>
          <w:lang w:val="fr-FR"/>
        </w:rPr>
        <w:t>occasion d</w:t>
      </w:r>
      <w:r w:rsidR="00EF0E92" w:rsidRPr="00EF0E92">
        <w:rPr>
          <w:lang w:val="fr-FR"/>
        </w:rPr>
        <w:t>’</w:t>
      </w:r>
      <w:r w:rsidRPr="00EF0E92">
        <w:rPr>
          <w:lang w:val="fr-FR"/>
        </w:rPr>
        <w:t>une audience.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30</w:t>
      </w:r>
      <w:r w:rsidRPr="00EF0E92">
        <w:rPr>
          <w:lang w:val="fr-FR"/>
        </w:rPr>
        <w:fldChar w:fldCharType="end"/>
      </w:r>
      <w:r w:rsidRPr="00EF0E92">
        <w:rPr>
          <w:lang w:val="fr-FR"/>
        </w:rPr>
        <w:t>.  À une date non précisée, le tribunal</w:t>
      </w:r>
      <w:r w:rsidR="00542FC2" w:rsidRPr="00EF0E92">
        <w:rPr>
          <w:lang w:val="fr-FR"/>
        </w:rPr>
        <w:t xml:space="preserve"> pour enfants </w:t>
      </w:r>
      <w:r w:rsidRPr="00EF0E92">
        <w:rPr>
          <w:lang w:val="fr-FR"/>
        </w:rPr>
        <w:t>se déclara incompétent en raison de la procédure pendante devant le tribunal civil de Catane.</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31</w:t>
      </w:r>
      <w:r w:rsidRPr="00EF0E92">
        <w:rPr>
          <w:lang w:val="fr-FR"/>
        </w:rPr>
        <w:fldChar w:fldCharType="end"/>
      </w:r>
      <w:r w:rsidRPr="00EF0E92">
        <w:rPr>
          <w:lang w:val="fr-FR"/>
        </w:rPr>
        <w:t>.  Par une décision du 16 juin 2016, ce tribunal, après avoir souligné que G. avait refusé de voir son père comme convenu et que les difficultés exprimées par l</w:t>
      </w:r>
      <w:r w:rsidR="00EF0E92" w:rsidRPr="00EF0E92">
        <w:rPr>
          <w:lang w:val="fr-FR"/>
        </w:rPr>
        <w:t>’</w:t>
      </w:r>
      <w:r w:rsidRPr="00EF0E92">
        <w:rPr>
          <w:lang w:val="fr-FR"/>
        </w:rPr>
        <w:t>enfant n</w:t>
      </w:r>
      <w:r w:rsidR="00EF0E92" w:rsidRPr="00EF0E92">
        <w:rPr>
          <w:lang w:val="fr-FR"/>
        </w:rPr>
        <w:t>’</w:t>
      </w:r>
      <w:r w:rsidRPr="00EF0E92">
        <w:rPr>
          <w:lang w:val="fr-FR"/>
        </w:rPr>
        <w:t>étaient pas liées aux accusations d</w:t>
      </w:r>
      <w:r w:rsidR="00EF0E92" w:rsidRPr="00EF0E92">
        <w:rPr>
          <w:lang w:val="fr-FR"/>
        </w:rPr>
        <w:t>’</w:t>
      </w:r>
      <w:r w:rsidRPr="00EF0E92">
        <w:rPr>
          <w:lang w:val="fr-FR"/>
        </w:rPr>
        <w:t>abus sexuels mais étaient la conséquence de la difficulté des relations entre le requérant et T.L.G., comme l</w:t>
      </w:r>
      <w:r w:rsidR="00EF0E92" w:rsidRPr="00EF0E92">
        <w:rPr>
          <w:lang w:val="fr-FR"/>
        </w:rPr>
        <w:t>’</w:t>
      </w:r>
      <w:r w:rsidRPr="00EF0E92">
        <w:rPr>
          <w:lang w:val="fr-FR"/>
        </w:rPr>
        <w:t>avait également relevé le juge pénal lors de l</w:t>
      </w:r>
      <w:r w:rsidR="00EF0E92" w:rsidRPr="00EF0E92">
        <w:rPr>
          <w:lang w:val="fr-FR"/>
        </w:rPr>
        <w:t>’</w:t>
      </w:r>
      <w:r w:rsidRPr="00EF0E92">
        <w:rPr>
          <w:lang w:val="fr-FR"/>
        </w:rPr>
        <w:t>acquittement du requérant du chef de violences sexuelles, chargea les services sociaux et le service de neuropsychiatrie d</w:t>
      </w:r>
      <w:r w:rsidR="00EF0E92" w:rsidRPr="00EF0E92">
        <w:rPr>
          <w:lang w:val="fr-FR"/>
        </w:rPr>
        <w:t>’</w:t>
      </w:r>
      <w:r w:rsidRPr="00EF0E92">
        <w:rPr>
          <w:lang w:val="fr-FR"/>
        </w:rPr>
        <w:t>observer l</w:t>
      </w:r>
      <w:r w:rsidR="00EF0E92" w:rsidRPr="00EF0E92">
        <w:rPr>
          <w:lang w:val="fr-FR"/>
        </w:rPr>
        <w:t>’</w:t>
      </w:r>
      <w:r w:rsidRPr="00EF0E92">
        <w:rPr>
          <w:lang w:val="fr-FR"/>
        </w:rPr>
        <w:t>enfant, de soutenir celui-ci dans l</w:t>
      </w:r>
      <w:r w:rsidR="00EF0E92" w:rsidRPr="00EF0E92">
        <w:rPr>
          <w:lang w:val="fr-FR"/>
        </w:rPr>
        <w:t>’</w:t>
      </w:r>
      <w:r w:rsidRPr="00EF0E92">
        <w:rPr>
          <w:lang w:val="fr-FR"/>
        </w:rPr>
        <w:t>établissement de sa relation avec son père et de rendre un rapport sur le respect par T.L.G. des prescriptions du tribunal. Il ordonna également la prise en charge de T.L.G. par les services sociaux pour l</w:t>
      </w:r>
      <w:r w:rsidR="00EF0E92" w:rsidRPr="00EF0E92">
        <w:rPr>
          <w:lang w:val="fr-FR"/>
        </w:rPr>
        <w:t>’</w:t>
      </w:r>
      <w:r w:rsidRPr="00EF0E92">
        <w:rPr>
          <w:lang w:val="fr-FR"/>
        </w:rPr>
        <w:t>aider à récupérer pleinement ses capacités parentales et fixa une nouvelle audience au 12 juillet 2016.</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32</w:t>
      </w:r>
      <w:r w:rsidRPr="00EF0E92">
        <w:rPr>
          <w:lang w:val="fr-FR"/>
        </w:rPr>
        <w:fldChar w:fldCharType="end"/>
      </w:r>
      <w:r w:rsidRPr="00EF0E92">
        <w:rPr>
          <w:lang w:val="fr-FR"/>
        </w:rPr>
        <w:t>.  Il ressort des éléments du dossier qu</w:t>
      </w:r>
      <w:r w:rsidR="00EF0E92" w:rsidRPr="00EF0E92">
        <w:rPr>
          <w:lang w:val="fr-FR"/>
        </w:rPr>
        <w:t>’</w:t>
      </w:r>
      <w:r w:rsidRPr="00EF0E92">
        <w:rPr>
          <w:lang w:val="fr-FR"/>
        </w:rPr>
        <w:t>une autre audience a eu lieu en novembre 2016. Toutefois, les parties n</w:t>
      </w:r>
      <w:r w:rsidR="00EF0E92" w:rsidRPr="00EF0E92">
        <w:rPr>
          <w:lang w:val="fr-FR"/>
        </w:rPr>
        <w:t>’</w:t>
      </w:r>
      <w:r w:rsidRPr="00EF0E92">
        <w:rPr>
          <w:lang w:val="fr-FR"/>
        </w:rPr>
        <w:t>ont pas informé la Cour de la suite de la procédure</w:t>
      </w:r>
    </w:p>
    <w:p w:rsidR="00737889" w:rsidRPr="00EF0E92" w:rsidRDefault="00737889" w:rsidP="00EF0E92">
      <w:pPr>
        <w:pStyle w:val="ECHRHeading1"/>
        <w:rPr>
          <w:lang w:val="fr-FR"/>
        </w:rPr>
      </w:pPr>
      <w:r w:rsidRPr="00EF0E92">
        <w:rPr>
          <w:lang w:val="fr-FR"/>
        </w:rPr>
        <w:t>II.  LE DROIT INTERNE PERTINENT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33</w:t>
      </w:r>
      <w:r w:rsidRPr="00EF0E92">
        <w:rPr>
          <w:lang w:val="fr-FR"/>
        </w:rPr>
        <w:fldChar w:fldCharType="end"/>
      </w:r>
      <w:r w:rsidRPr="00EF0E92">
        <w:rPr>
          <w:lang w:val="fr-FR"/>
        </w:rPr>
        <w:t>.  Le droit interne pertinent se trouve décrit dans l</w:t>
      </w:r>
      <w:r w:rsidR="00EF0E92" w:rsidRPr="00EF0E92">
        <w:rPr>
          <w:lang w:val="fr-FR"/>
        </w:rPr>
        <w:t>’</w:t>
      </w:r>
      <w:r w:rsidRPr="00EF0E92">
        <w:rPr>
          <w:lang w:val="fr-FR"/>
        </w:rPr>
        <w:t xml:space="preserve">arrêt </w:t>
      </w:r>
      <w:r w:rsidRPr="00EF0E92">
        <w:rPr>
          <w:i/>
          <w:iCs/>
          <w:lang w:val="fr-FR"/>
        </w:rPr>
        <w:t xml:space="preserve">Strumia c. Italie </w:t>
      </w:r>
      <w:r w:rsidRPr="00EF0E92">
        <w:rPr>
          <w:lang w:val="fr-FR"/>
        </w:rPr>
        <w:t>(n</w:t>
      </w:r>
      <w:r w:rsidRPr="00EF0E92">
        <w:rPr>
          <w:vertAlign w:val="superscript"/>
          <w:lang w:val="fr-FR"/>
        </w:rPr>
        <w:t>o</w:t>
      </w:r>
      <w:r w:rsidRPr="00EF0E92">
        <w:rPr>
          <w:lang w:val="fr-FR"/>
        </w:rPr>
        <w:t> 53377/13, §§ 73-78, 23 juin 2016).</w:t>
      </w:r>
    </w:p>
    <w:p w:rsidR="00737889" w:rsidRPr="00EF0E92" w:rsidRDefault="00737889" w:rsidP="00EF0E92">
      <w:pPr>
        <w:pStyle w:val="ECHRTitle1"/>
        <w:rPr>
          <w:lang w:val="fr-FR"/>
        </w:rPr>
      </w:pPr>
      <w:r w:rsidRPr="00EF0E92">
        <w:rPr>
          <w:lang w:val="fr-FR"/>
        </w:rPr>
        <w:t>EN DROIT</w:t>
      </w:r>
    </w:p>
    <w:p w:rsidR="00737889" w:rsidRPr="00EF0E92" w:rsidRDefault="00737889" w:rsidP="00EF0E92">
      <w:pPr>
        <w:pStyle w:val="ECHRHeading1"/>
        <w:rPr>
          <w:lang w:val="fr-FR"/>
        </w:rPr>
      </w:pPr>
      <w:r w:rsidRPr="00EF0E92">
        <w:rPr>
          <w:lang w:val="fr-FR"/>
        </w:rPr>
        <w:t>I.  SUR LA VIOLATION ALLÉGUÉE DE L</w:t>
      </w:r>
      <w:r w:rsidR="00EF0E92" w:rsidRPr="00EF0E92">
        <w:rPr>
          <w:lang w:val="fr-FR"/>
        </w:rPr>
        <w:t>’</w:t>
      </w:r>
      <w:r w:rsidRPr="00EF0E92">
        <w:rPr>
          <w:lang w:val="fr-FR"/>
        </w:rPr>
        <w:t>ARTICLE 8 DE LA CONVENTION</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34</w:t>
      </w:r>
      <w:r w:rsidRPr="00EF0E92">
        <w:rPr>
          <w:lang w:val="fr-FR"/>
        </w:rPr>
        <w:fldChar w:fldCharType="end"/>
      </w:r>
      <w:r w:rsidRPr="00EF0E92">
        <w:rPr>
          <w:lang w:val="fr-FR"/>
        </w:rPr>
        <w:t>.  Le requérant allègue une violation à son égard du droit au respect de la vie familiale. En effet, il se plaint de n</w:t>
      </w:r>
      <w:r w:rsidR="00EF0E92" w:rsidRPr="00EF0E92">
        <w:rPr>
          <w:lang w:val="fr-FR"/>
        </w:rPr>
        <w:t>’</w:t>
      </w:r>
      <w:r w:rsidRPr="00EF0E92">
        <w:rPr>
          <w:lang w:val="fr-FR"/>
        </w:rPr>
        <w:t>avoir pas pu exercer son droit de visite depuis 2007 malgré l</w:t>
      </w:r>
      <w:r w:rsidR="00EF0E92" w:rsidRPr="00EF0E92">
        <w:rPr>
          <w:lang w:val="fr-FR"/>
        </w:rPr>
        <w:t>’</w:t>
      </w:r>
      <w:r w:rsidRPr="00EF0E92">
        <w:rPr>
          <w:lang w:val="fr-FR"/>
        </w:rPr>
        <w:t>existence de plusieurs décisions du tribunal en fixant les conditions. Il reproche aux services sociaux d</w:t>
      </w:r>
      <w:r w:rsidR="00EF0E92" w:rsidRPr="00EF0E92">
        <w:rPr>
          <w:lang w:val="fr-FR"/>
        </w:rPr>
        <w:t>’</w:t>
      </w:r>
      <w:r w:rsidRPr="00EF0E92">
        <w:rPr>
          <w:lang w:val="fr-FR"/>
        </w:rPr>
        <w:t>avoir usé d</w:t>
      </w:r>
      <w:r w:rsidR="00EF0E92" w:rsidRPr="00EF0E92">
        <w:rPr>
          <w:lang w:val="fr-FR"/>
        </w:rPr>
        <w:t>’</w:t>
      </w:r>
      <w:r w:rsidRPr="00EF0E92">
        <w:rPr>
          <w:lang w:val="fr-FR"/>
        </w:rPr>
        <w:t xml:space="preserve">une trop grande autonomie dans la mise en œuvre des décisions du tribunal et à </w:t>
      </w:r>
      <w:r w:rsidRPr="00EF0E92">
        <w:rPr>
          <w:lang w:val="fr-FR"/>
        </w:rPr>
        <w:lastRenderedPageBreak/>
        <w:t>celui-ci de n</w:t>
      </w:r>
      <w:r w:rsidR="00EF0E92" w:rsidRPr="00EF0E92">
        <w:rPr>
          <w:lang w:val="fr-FR"/>
        </w:rPr>
        <w:t>’</w:t>
      </w:r>
      <w:r w:rsidRPr="00EF0E92">
        <w:rPr>
          <w:lang w:val="fr-FR"/>
        </w:rPr>
        <w:t>avoir pas exercé de contrôle constant du travail de ces mêmes services sociaux. L</w:t>
      </w:r>
      <w:r w:rsidR="00EF0E92" w:rsidRPr="00EF0E92">
        <w:rPr>
          <w:lang w:val="fr-FR"/>
        </w:rPr>
        <w:t>’</w:t>
      </w:r>
      <w:r w:rsidRPr="00EF0E92">
        <w:rPr>
          <w:lang w:val="fr-FR"/>
        </w:rPr>
        <w:t>article 8 de la Convention est ainsi libellé :</w:t>
      </w:r>
    </w:p>
    <w:p w:rsidR="00737889" w:rsidRPr="00EF0E92" w:rsidRDefault="00737889" w:rsidP="00EF0E92">
      <w:pPr>
        <w:pStyle w:val="ECHRParaQuote"/>
        <w:rPr>
          <w:lang w:val="fr-FR"/>
        </w:rPr>
      </w:pPr>
      <w:r w:rsidRPr="00EF0E92">
        <w:rPr>
          <w:lang w:val="fr-FR"/>
        </w:rPr>
        <w:t xml:space="preserve">« 1.  Toute personne a droit au respect de sa vie privée et familiale </w:t>
      </w:r>
      <w:r w:rsidR="005427F8" w:rsidRPr="00EF0E92">
        <w:rPr>
          <w:lang w:val="fr-FR"/>
        </w:rPr>
        <w:t>(</w:t>
      </w:r>
      <w:r w:rsidR="009F13D7" w:rsidRPr="00EF0E92">
        <w:rPr>
          <w:lang w:val="fr-FR"/>
        </w:rPr>
        <w:t>...</w:t>
      </w:r>
      <w:r w:rsidR="005427F8" w:rsidRPr="00EF0E92">
        <w:rPr>
          <w:lang w:val="fr-FR"/>
        </w:rPr>
        <w:t>)</w:t>
      </w:r>
    </w:p>
    <w:p w:rsidR="00737889" w:rsidRPr="00EF0E92" w:rsidRDefault="00737889" w:rsidP="00EF0E92">
      <w:pPr>
        <w:pStyle w:val="ECHRParaQuote"/>
        <w:rPr>
          <w:lang w:val="fr-FR"/>
        </w:rPr>
      </w:pPr>
      <w:r w:rsidRPr="00EF0E92">
        <w:rPr>
          <w:lang w:val="fr-FR"/>
        </w:rPr>
        <w:t>2.  Il ne peut y avoir ingérence d</w:t>
      </w:r>
      <w:r w:rsidR="00EF0E92" w:rsidRPr="00EF0E92">
        <w:rPr>
          <w:lang w:val="fr-FR"/>
        </w:rPr>
        <w:t>’</w:t>
      </w:r>
      <w:r w:rsidRPr="00EF0E92">
        <w:rPr>
          <w:lang w:val="fr-FR"/>
        </w:rPr>
        <w:t>une autorité publique dans l</w:t>
      </w:r>
      <w:r w:rsidR="00EF0E92" w:rsidRPr="00EF0E92">
        <w:rPr>
          <w:lang w:val="fr-FR"/>
        </w:rPr>
        <w:t>’</w:t>
      </w:r>
      <w:r w:rsidRPr="00EF0E92">
        <w:rPr>
          <w:lang w:val="fr-FR"/>
        </w:rPr>
        <w:t>exercice de ce droit que pour autant que cette ingérence est prévue par la loi et qu</w:t>
      </w:r>
      <w:r w:rsidR="00EF0E92" w:rsidRPr="00EF0E92">
        <w:rPr>
          <w:lang w:val="fr-FR"/>
        </w:rPr>
        <w:t>’</w:t>
      </w:r>
      <w:r w:rsidRPr="00EF0E92">
        <w:rPr>
          <w:lang w:val="fr-FR"/>
        </w:rPr>
        <w:t>elle constitue une mesure qui, dans une société démocratique, est nécessaire à la sécurité nationale, à la sûreté publique, au bien</w:t>
      </w:r>
      <w:r w:rsidRPr="00EF0E92">
        <w:rPr>
          <w:lang w:val="fr-FR"/>
        </w:rPr>
        <w:noBreakHyphen/>
        <w:t>être économique du pays, à la défense de l</w:t>
      </w:r>
      <w:r w:rsidR="00EF0E92" w:rsidRPr="00EF0E92">
        <w:rPr>
          <w:lang w:val="fr-FR"/>
        </w:rPr>
        <w:t>’</w:t>
      </w:r>
      <w:r w:rsidRPr="00EF0E92">
        <w:rPr>
          <w:lang w:val="fr-FR"/>
        </w:rPr>
        <w:t>ordre et à la prévention des infractions pénales, à la protection de la santé ou de la morale, ou à la protection des droits et libertés d</w:t>
      </w:r>
      <w:r w:rsidR="00EF0E92" w:rsidRPr="00EF0E92">
        <w:rPr>
          <w:lang w:val="fr-FR"/>
        </w:rPr>
        <w:t>’</w:t>
      </w:r>
      <w:r w:rsidRPr="00EF0E92">
        <w:rPr>
          <w:lang w:val="fr-FR"/>
        </w:rPr>
        <w:t>autrui. »</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35</w:t>
      </w:r>
      <w:r w:rsidRPr="00EF0E92">
        <w:rPr>
          <w:lang w:val="fr-FR"/>
        </w:rPr>
        <w:fldChar w:fldCharType="end"/>
      </w:r>
      <w:r w:rsidRPr="00EF0E92">
        <w:rPr>
          <w:lang w:val="fr-FR"/>
        </w:rPr>
        <w:t>.  Le Gouvernement combat la thèse du requérant.</w:t>
      </w:r>
    </w:p>
    <w:p w:rsidR="00737889" w:rsidRPr="00EF0E92" w:rsidRDefault="00737889" w:rsidP="00EF0E92">
      <w:pPr>
        <w:pStyle w:val="ECHRHeading2"/>
        <w:rPr>
          <w:lang w:val="fr-FR"/>
        </w:rPr>
      </w:pPr>
      <w:r w:rsidRPr="00EF0E92">
        <w:rPr>
          <w:lang w:val="fr-FR"/>
        </w:rPr>
        <w:t>A.  Sur</w:t>
      </w:r>
      <w:r w:rsidR="002F7BC2" w:rsidRPr="00EF0E92">
        <w:rPr>
          <w:lang w:val="fr-FR"/>
        </w:rPr>
        <w:t xml:space="preserve"> </w:t>
      </w:r>
      <w:r w:rsidRPr="00EF0E92">
        <w:rPr>
          <w:lang w:val="fr-FR"/>
        </w:rPr>
        <w:t>la recevabilité</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36</w:t>
      </w:r>
      <w:r w:rsidRPr="00EF0E92">
        <w:rPr>
          <w:lang w:val="fr-FR"/>
        </w:rPr>
        <w:fldChar w:fldCharType="end"/>
      </w:r>
      <w:r w:rsidRPr="00EF0E92">
        <w:rPr>
          <w:lang w:val="fr-FR"/>
        </w:rPr>
        <w:t>.  Constatant que la requête n</w:t>
      </w:r>
      <w:r w:rsidR="00EF0E92" w:rsidRPr="00EF0E92">
        <w:rPr>
          <w:lang w:val="fr-FR"/>
        </w:rPr>
        <w:t>’</w:t>
      </w:r>
      <w:r w:rsidRPr="00EF0E92">
        <w:rPr>
          <w:lang w:val="fr-FR"/>
        </w:rPr>
        <w:t>est pas manifestement mal fondée au sens de l</w:t>
      </w:r>
      <w:r w:rsidR="00EF0E92" w:rsidRPr="00EF0E92">
        <w:rPr>
          <w:lang w:val="fr-FR"/>
        </w:rPr>
        <w:t>’</w:t>
      </w:r>
      <w:r w:rsidRPr="00EF0E92">
        <w:rPr>
          <w:lang w:val="fr-FR"/>
        </w:rPr>
        <w:t>article 35 § 3 a) de la Convention et qu</w:t>
      </w:r>
      <w:r w:rsidR="00EF0E92" w:rsidRPr="00EF0E92">
        <w:rPr>
          <w:lang w:val="fr-FR"/>
        </w:rPr>
        <w:t>’</w:t>
      </w:r>
      <w:r w:rsidRPr="00EF0E92">
        <w:rPr>
          <w:lang w:val="fr-FR"/>
        </w:rPr>
        <w:t>elle ne se heurte à aucun autre motif d</w:t>
      </w:r>
      <w:r w:rsidR="00EF0E92" w:rsidRPr="00EF0E92">
        <w:rPr>
          <w:lang w:val="fr-FR"/>
        </w:rPr>
        <w:t>’</w:t>
      </w:r>
      <w:r w:rsidRPr="00EF0E92">
        <w:rPr>
          <w:lang w:val="fr-FR"/>
        </w:rPr>
        <w:t>irrecevabilité, la Cour la déclare recevable.</w:t>
      </w:r>
    </w:p>
    <w:p w:rsidR="00737889" w:rsidRPr="00EF0E92" w:rsidRDefault="00737889" w:rsidP="00EF0E92">
      <w:pPr>
        <w:pStyle w:val="ECHRHeading2"/>
        <w:rPr>
          <w:lang w:val="fr-FR"/>
        </w:rPr>
      </w:pPr>
      <w:r w:rsidRPr="00EF0E92">
        <w:rPr>
          <w:lang w:val="fr-FR"/>
        </w:rPr>
        <w:t>B.  Sur le fond</w:t>
      </w:r>
    </w:p>
    <w:p w:rsidR="00737889" w:rsidRPr="00EF0E92" w:rsidRDefault="00737889" w:rsidP="00EF0E92">
      <w:pPr>
        <w:pStyle w:val="ECHRHeading3"/>
        <w:rPr>
          <w:lang w:val="fr-FR"/>
        </w:rPr>
      </w:pPr>
      <w:r w:rsidRPr="00EF0E92">
        <w:rPr>
          <w:lang w:val="fr-FR"/>
        </w:rPr>
        <w:t>1.  Thèses des parties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37</w:t>
      </w:r>
      <w:r w:rsidRPr="00EF0E92">
        <w:rPr>
          <w:lang w:val="fr-FR"/>
        </w:rPr>
        <w:fldChar w:fldCharType="end"/>
      </w:r>
      <w:r w:rsidRPr="00EF0E92">
        <w:rPr>
          <w:lang w:val="fr-FR"/>
        </w:rPr>
        <w:t>.  Le requérant indique que, nonobstant les décisions du tribunal ordonnant la reprise des rencontres entre son enfant et lui, d</w:t>
      </w:r>
      <w:r w:rsidR="00EF0E92" w:rsidRPr="00EF0E92">
        <w:rPr>
          <w:lang w:val="fr-FR"/>
        </w:rPr>
        <w:t>’</w:t>
      </w:r>
      <w:r w:rsidRPr="00EF0E92">
        <w:rPr>
          <w:lang w:val="fr-FR"/>
        </w:rPr>
        <w:t>abord en 2008, puis en 2011 et en 2013, et bien que son autorité parentale n</w:t>
      </w:r>
      <w:r w:rsidR="00EF0E92" w:rsidRPr="00EF0E92">
        <w:rPr>
          <w:lang w:val="fr-FR"/>
        </w:rPr>
        <w:t>’</w:t>
      </w:r>
      <w:r w:rsidRPr="00EF0E92">
        <w:rPr>
          <w:lang w:val="fr-FR"/>
        </w:rPr>
        <w:t>eût jamais été suspendue, il n</w:t>
      </w:r>
      <w:r w:rsidR="00EF0E92" w:rsidRPr="00EF0E92">
        <w:rPr>
          <w:lang w:val="fr-FR"/>
        </w:rPr>
        <w:t>’</w:t>
      </w:r>
      <w:r w:rsidRPr="00EF0E92">
        <w:rPr>
          <w:lang w:val="fr-FR"/>
        </w:rPr>
        <w:t>a plus aucun contact, même téléphonique, avec son fils depuis 2010. Il argue que les services sociaux ne l</w:t>
      </w:r>
      <w:r w:rsidR="00EF0E92" w:rsidRPr="00EF0E92">
        <w:rPr>
          <w:lang w:val="fr-FR"/>
        </w:rPr>
        <w:t>’</w:t>
      </w:r>
      <w:r w:rsidRPr="00EF0E92">
        <w:rPr>
          <w:lang w:val="fr-FR"/>
        </w:rPr>
        <w:t>ont jamais convoqué pour mettre en place un parcours de rapprochement avec son fils et qu</w:t>
      </w:r>
      <w:r w:rsidR="00EF0E92" w:rsidRPr="00EF0E92">
        <w:rPr>
          <w:lang w:val="fr-FR"/>
        </w:rPr>
        <w:t>’</w:t>
      </w:r>
      <w:r w:rsidRPr="00EF0E92">
        <w:rPr>
          <w:lang w:val="fr-FR"/>
        </w:rPr>
        <w:t>ils ne l</w:t>
      </w:r>
      <w:r w:rsidR="00EF0E92" w:rsidRPr="00EF0E92">
        <w:rPr>
          <w:lang w:val="fr-FR"/>
        </w:rPr>
        <w:t>’</w:t>
      </w:r>
      <w:r w:rsidRPr="00EF0E92">
        <w:rPr>
          <w:lang w:val="fr-FR"/>
        </w:rPr>
        <w:t>ont pas informé des parcours de soutien psychologique effectués par l</w:t>
      </w:r>
      <w:r w:rsidR="00EF0E92" w:rsidRPr="00EF0E92">
        <w:rPr>
          <w:lang w:val="fr-FR"/>
        </w:rPr>
        <w:t>’</w:t>
      </w:r>
      <w:r w:rsidRPr="00EF0E92">
        <w:rPr>
          <w:lang w:val="fr-FR"/>
        </w:rPr>
        <w:t>enfant.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38</w:t>
      </w:r>
      <w:r w:rsidRPr="00EF0E92">
        <w:rPr>
          <w:lang w:val="fr-FR"/>
        </w:rPr>
        <w:fldChar w:fldCharType="end"/>
      </w:r>
      <w:r w:rsidRPr="00EF0E92">
        <w:rPr>
          <w:lang w:val="fr-FR"/>
        </w:rPr>
        <w:t>.  Le requérant estime que l</w:t>
      </w:r>
      <w:r w:rsidR="00EF0E92" w:rsidRPr="00EF0E92">
        <w:rPr>
          <w:lang w:val="fr-FR"/>
        </w:rPr>
        <w:t>’</w:t>
      </w:r>
      <w:r w:rsidRPr="00EF0E92">
        <w:rPr>
          <w:lang w:val="fr-FR"/>
        </w:rPr>
        <w:t>intérêt supérieur de l</w:t>
      </w:r>
      <w:r w:rsidR="00EF0E92" w:rsidRPr="00EF0E92">
        <w:rPr>
          <w:lang w:val="fr-FR"/>
        </w:rPr>
        <w:t>’</w:t>
      </w:r>
      <w:r w:rsidRPr="00EF0E92">
        <w:rPr>
          <w:lang w:val="fr-FR"/>
        </w:rPr>
        <w:t>enfant était de construire une relation avec ses deux parents, mais que cela n</w:t>
      </w:r>
      <w:r w:rsidR="00EF0E92" w:rsidRPr="00EF0E92">
        <w:rPr>
          <w:lang w:val="fr-FR"/>
        </w:rPr>
        <w:t>’</w:t>
      </w:r>
      <w:r w:rsidRPr="00EF0E92">
        <w:rPr>
          <w:lang w:val="fr-FR"/>
        </w:rPr>
        <w:t>a pas été possible, selon lui, en raison d</w:t>
      </w:r>
      <w:r w:rsidR="00EF0E92" w:rsidRPr="00EF0E92">
        <w:rPr>
          <w:lang w:val="fr-FR"/>
        </w:rPr>
        <w:t>’</w:t>
      </w:r>
      <w:r w:rsidRPr="00EF0E92">
        <w:rPr>
          <w:lang w:val="fr-FR"/>
        </w:rPr>
        <w:t>un comportement pathologique de T.L.G., qui aurait toujours monté l</w:t>
      </w:r>
      <w:r w:rsidR="00EF0E92" w:rsidRPr="00EF0E92">
        <w:rPr>
          <w:lang w:val="fr-FR"/>
        </w:rPr>
        <w:t>’</w:t>
      </w:r>
      <w:r w:rsidRPr="00EF0E92">
        <w:rPr>
          <w:lang w:val="fr-FR"/>
        </w:rPr>
        <w:t>enfant contre lui. Il déclare qu</w:t>
      </w:r>
      <w:r w:rsidR="00EF0E92" w:rsidRPr="00EF0E92">
        <w:rPr>
          <w:lang w:val="fr-FR"/>
        </w:rPr>
        <w:t>’</w:t>
      </w:r>
      <w:r w:rsidRPr="00EF0E92">
        <w:rPr>
          <w:lang w:val="fr-FR"/>
        </w:rPr>
        <w:t>il a été tenu à l</w:t>
      </w:r>
      <w:r w:rsidR="00EF0E92" w:rsidRPr="00EF0E92">
        <w:rPr>
          <w:lang w:val="fr-FR"/>
        </w:rPr>
        <w:t>’</w:t>
      </w:r>
      <w:r w:rsidRPr="00EF0E92">
        <w:rPr>
          <w:lang w:val="fr-FR"/>
        </w:rPr>
        <w:t>écart de tout ce qui concernait la psychologie de l</w:t>
      </w:r>
      <w:r w:rsidR="00EF0E92" w:rsidRPr="00EF0E92">
        <w:rPr>
          <w:lang w:val="fr-FR"/>
        </w:rPr>
        <w:t>’</w:t>
      </w:r>
      <w:r w:rsidRPr="00EF0E92">
        <w:rPr>
          <w:lang w:val="fr-FR"/>
        </w:rPr>
        <w:t>enfant. À ses yeux, le comportement des autorités est contraire au principe de la coparentalité.</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39</w:t>
      </w:r>
      <w:r w:rsidRPr="00EF0E92">
        <w:rPr>
          <w:lang w:val="fr-FR"/>
        </w:rPr>
        <w:fldChar w:fldCharType="end"/>
      </w:r>
      <w:r w:rsidRPr="00EF0E92">
        <w:rPr>
          <w:lang w:val="fr-FR"/>
        </w:rPr>
        <w:t>.  Le requérant allègue qu</w:t>
      </w:r>
      <w:r w:rsidR="00EF0E92" w:rsidRPr="00EF0E92">
        <w:rPr>
          <w:lang w:val="fr-FR"/>
        </w:rPr>
        <w:t>’</w:t>
      </w:r>
      <w:r w:rsidRPr="00EF0E92">
        <w:rPr>
          <w:lang w:val="fr-FR"/>
        </w:rPr>
        <w:t>aucune mesure n</w:t>
      </w:r>
      <w:r w:rsidR="00EF0E92" w:rsidRPr="00EF0E92">
        <w:rPr>
          <w:lang w:val="fr-FR"/>
        </w:rPr>
        <w:t>’</w:t>
      </w:r>
      <w:r w:rsidRPr="00EF0E92">
        <w:rPr>
          <w:lang w:val="fr-FR"/>
        </w:rPr>
        <w:t>a été prise par les services sociaux concernés pendant toutes ces années pour aider son enfant à surmonter ses difficultés relationnelles avec lui, difficultés découlant, selon lui, des accusations d</w:t>
      </w:r>
      <w:r w:rsidR="00EF0E92" w:rsidRPr="00EF0E92">
        <w:rPr>
          <w:lang w:val="fr-FR"/>
        </w:rPr>
        <w:t>’</w:t>
      </w:r>
      <w:r w:rsidRPr="00EF0E92">
        <w:rPr>
          <w:lang w:val="fr-FR"/>
        </w:rPr>
        <w:t>attouchements injustement portées contre lui.</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40</w:t>
      </w:r>
      <w:r w:rsidRPr="00EF0E92">
        <w:rPr>
          <w:lang w:val="fr-FR"/>
        </w:rPr>
        <w:fldChar w:fldCharType="end"/>
      </w:r>
      <w:r w:rsidRPr="00EF0E92">
        <w:rPr>
          <w:lang w:val="fr-FR"/>
        </w:rPr>
        <w:t>.  De plus, le requérant soutient que, afin d</w:t>
      </w:r>
      <w:r w:rsidR="00EF0E92" w:rsidRPr="00EF0E92">
        <w:rPr>
          <w:lang w:val="fr-FR"/>
        </w:rPr>
        <w:t>’</w:t>
      </w:r>
      <w:r w:rsidRPr="00EF0E92">
        <w:rPr>
          <w:lang w:val="fr-FR"/>
        </w:rPr>
        <w:t>empêcher les contacts entre son fils et lui, contacts qui auraient été recommandés par l</w:t>
      </w:r>
      <w:r w:rsidR="00EF0E92" w:rsidRPr="00EF0E92">
        <w:rPr>
          <w:lang w:val="fr-FR"/>
        </w:rPr>
        <w:t>’</w:t>
      </w:r>
      <w:r w:rsidRPr="00EF0E92">
        <w:rPr>
          <w:lang w:val="fr-FR"/>
        </w:rPr>
        <w:t>expert nommé par le tribunal saisi pour se prononcer sur le divorce,</w:t>
      </w:r>
      <w:r w:rsidRPr="00EF0E92" w:rsidDel="008A0680">
        <w:rPr>
          <w:lang w:val="fr-FR"/>
        </w:rPr>
        <w:t xml:space="preserve"> </w:t>
      </w:r>
      <w:r w:rsidRPr="00EF0E92">
        <w:rPr>
          <w:lang w:val="fr-FR"/>
        </w:rPr>
        <w:t xml:space="preserve">T.L.G. a, en 2016, déposé à nouveau un recours devant le tribunal afin de faire obstacle </w:t>
      </w:r>
      <w:r w:rsidRPr="00EF0E92">
        <w:rPr>
          <w:lang w:val="fr-FR"/>
        </w:rPr>
        <w:lastRenderedPageBreak/>
        <w:t>auxdites rencontres. Elle aurait une nouvelle fois fait part de soupçons quant à l</w:t>
      </w:r>
      <w:r w:rsidR="00EF0E92" w:rsidRPr="00EF0E92">
        <w:rPr>
          <w:lang w:val="fr-FR"/>
        </w:rPr>
        <w:t>’</w:t>
      </w:r>
      <w:r w:rsidRPr="00EF0E92">
        <w:rPr>
          <w:lang w:val="fr-FR"/>
        </w:rPr>
        <w:t>existence d</w:t>
      </w:r>
      <w:r w:rsidR="00EF0E92" w:rsidRPr="00EF0E92">
        <w:rPr>
          <w:lang w:val="fr-FR"/>
        </w:rPr>
        <w:t>’</w:t>
      </w:r>
      <w:r w:rsidRPr="00EF0E92">
        <w:rPr>
          <w:lang w:val="fr-FR"/>
        </w:rPr>
        <w:t>attouchements sexuels par le requérant.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41</w:t>
      </w:r>
      <w:r w:rsidRPr="00EF0E92">
        <w:rPr>
          <w:lang w:val="fr-FR"/>
        </w:rPr>
        <w:fldChar w:fldCharType="end"/>
      </w:r>
      <w:r w:rsidRPr="00EF0E92">
        <w:rPr>
          <w:lang w:val="fr-FR"/>
        </w:rPr>
        <w:t>.  Le requérant s</w:t>
      </w:r>
      <w:r w:rsidR="00EF0E92" w:rsidRPr="00EF0E92">
        <w:rPr>
          <w:lang w:val="fr-FR"/>
        </w:rPr>
        <w:t>’</w:t>
      </w:r>
      <w:r w:rsidRPr="00EF0E92">
        <w:rPr>
          <w:lang w:val="fr-FR"/>
        </w:rPr>
        <w:t>appuie sur le rapport déposé lors de la dernière procédure devant le tribunal civil de Catane pour démontrer que son fils ne grandit pas sereinement et n</w:t>
      </w:r>
      <w:r w:rsidR="00EF0E92" w:rsidRPr="00EF0E92">
        <w:rPr>
          <w:lang w:val="fr-FR"/>
        </w:rPr>
        <w:t>’</w:t>
      </w:r>
      <w:r w:rsidRPr="00EF0E92">
        <w:rPr>
          <w:lang w:val="fr-FR"/>
        </w:rPr>
        <w:t>accepte pas la figure paternelle. Il argue que cette situation est une conséquence du comportement de T.L.G., qui viserait à l</w:t>
      </w:r>
      <w:r w:rsidR="00EF0E92" w:rsidRPr="00EF0E92">
        <w:rPr>
          <w:lang w:val="fr-FR"/>
        </w:rPr>
        <w:t>’</w:t>
      </w:r>
      <w:r w:rsidRPr="00EF0E92">
        <w:rPr>
          <w:lang w:val="fr-FR"/>
        </w:rPr>
        <w:t>exclure de la vie de l</w:t>
      </w:r>
      <w:r w:rsidR="00EF0E92" w:rsidRPr="00EF0E92">
        <w:rPr>
          <w:lang w:val="fr-FR"/>
        </w:rPr>
        <w:t>’</w:t>
      </w:r>
      <w:r w:rsidRPr="00EF0E92">
        <w:rPr>
          <w:lang w:val="fr-FR"/>
        </w:rPr>
        <w:t>enfant. Selon lui, les services sociaux n</w:t>
      </w:r>
      <w:r w:rsidR="00EF0E92" w:rsidRPr="00EF0E92">
        <w:rPr>
          <w:lang w:val="fr-FR"/>
        </w:rPr>
        <w:t>’</w:t>
      </w:r>
      <w:r w:rsidRPr="00EF0E92">
        <w:rPr>
          <w:lang w:val="fr-FR"/>
        </w:rPr>
        <w:t>ont pas su mener à bien la mission dont les avaient chargés le tribunal en 2011 et la cour d</w:t>
      </w:r>
      <w:r w:rsidR="00EF0E92" w:rsidRPr="00EF0E92">
        <w:rPr>
          <w:lang w:val="fr-FR"/>
        </w:rPr>
        <w:t>’</w:t>
      </w:r>
      <w:r w:rsidRPr="00EF0E92">
        <w:rPr>
          <w:lang w:val="fr-FR"/>
        </w:rPr>
        <w:t>appel en 2013, à savoir soutenir l</w:t>
      </w:r>
      <w:r w:rsidR="00EF0E92" w:rsidRPr="00EF0E92">
        <w:rPr>
          <w:lang w:val="fr-FR"/>
        </w:rPr>
        <w:t>’</w:t>
      </w:r>
      <w:r w:rsidRPr="00EF0E92">
        <w:rPr>
          <w:lang w:val="fr-FR"/>
        </w:rPr>
        <w:t>enfant et œuvrer à un rapprochement entre son fils et lui. Le requérant ajoute que les autorités n</w:t>
      </w:r>
      <w:r w:rsidR="00EF0E92" w:rsidRPr="00EF0E92">
        <w:rPr>
          <w:lang w:val="fr-FR"/>
        </w:rPr>
        <w:t>’</w:t>
      </w:r>
      <w:r w:rsidRPr="00EF0E92">
        <w:rPr>
          <w:lang w:val="fr-FR"/>
        </w:rPr>
        <w:t>ont pas pris rapidement les mesures nécessaires permettant de reconstruire la relation entre son enfant et lui.</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42</w:t>
      </w:r>
      <w:r w:rsidRPr="00EF0E92">
        <w:rPr>
          <w:lang w:val="fr-FR"/>
        </w:rPr>
        <w:fldChar w:fldCharType="end"/>
      </w:r>
      <w:r w:rsidRPr="00EF0E92">
        <w:rPr>
          <w:lang w:val="fr-FR"/>
        </w:rPr>
        <w:t>.  Le Gouvernement estime que les autorités ont agi dans l</w:t>
      </w:r>
      <w:r w:rsidR="00EF0E92" w:rsidRPr="00EF0E92">
        <w:rPr>
          <w:lang w:val="fr-FR"/>
        </w:rPr>
        <w:t>’</w:t>
      </w:r>
      <w:r w:rsidRPr="00EF0E92">
        <w:rPr>
          <w:lang w:val="fr-FR"/>
        </w:rPr>
        <w:t>intérêt de l</w:t>
      </w:r>
      <w:r w:rsidR="00EF0E92" w:rsidRPr="00EF0E92">
        <w:rPr>
          <w:lang w:val="fr-FR"/>
        </w:rPr>
        <w:t>’</w:t>
      </w:r>
      <w:r w:rsidRPr="00EF0E92">
        <w:rPr>
          <w:lang w:val="fr-FR"/>
        </w:rPr>
        <w:t>enfant en jugeant que ce dernier devait bénéficier d</w:t>
      </w:r>
      <w:r w:rsidR="00EF0E92" w:rsidRPr="00EF0E92">
        <w:rPr>
          <w:lang w:val="fr-FR"/>
        </w:rPr>
        <w:t>’</w:t>
      </w:r>
      <w:r w:rsidRPr="00EF0E92">
        <w:rPr>
          <w:lang w:val="fr-FR"/>
        </w:rPr>
        <w:t>un rapprochement avec le requérant en dépit de l</w:t>
      </w:r>
      <w:r w:rsidR="00EF0E92" w:rsidRPr="00EF0E92">
        <w:rPr>
          <w:lang w:val="fr-FR"/>
        </w:rPr>
        <w:t>’</w:t>
      </w:r>
      <w:r w:rsidRPr="00EF0E92">
        <w:rPr>
          <w:lang w:val="fr-FR"/>
        </w:rPr>
        <w:t>opposition de la mère à ce sujet. Il renvoie à cet égard aux décisions du tribunal de Catane du 26 octobre 2011 et de la cour d</w:t>
      </w:r>
      <w:r w:rsidR="00EF0E92" w:rsidRPr="00EF0E92">
        <w:rPr>
          <w:lang w:val="fr-FR"/>
        </w:rPr>
        <w:t>’</w:t>
      </w:r>
      <w:r w:rsidRPr="00EF0E92">
        <w:rPr>
          <w:lang w:val="fr-FR"/>
        </w:rPr>
        <w:t xml:space="preserve">appel de Catane du 2 janvier 2013 (paragraphes </w:t>
      </w:r>
      <w:r w:rsidRPr="00EF0E92">
        <w:rPr>
          <w:lang w:val="fr-FR"/>
        </w:rPr>
        <w:fldChar w:fldCharType="begin"/>
      </w:r>
      <w:r w:rsidRPr="00EF0E92">
        <w:rPr>
          <w:lang w:val="fr-FR"/>
        </w:rPr>
        <w:instrText xml:space="preserve"> REF para17 \h  \* MERGEFORMAT </w:instrText>
      </w:r>
      <w:r w:rsidRPr="00EF0E92">
        <w:rPr>
          <w:lang w:val="fr-FR"/>
        </w:rPr>
      </w:r>
      <w:r w:rsidRPr="00EF0E92">
        <w:rPr>
          <w:lang w:val="fr-FR"/>
        </w:rPr>
        <w:fldChar w:fldCharType="separate"/>
      </w:r>
      <w:r w:rsidR="00EF0E92" w:rsidRPr="00EF0E92">
        <w:rPr>
          <w:noProof/>
          <w:lang w:val="fr-FR"/>
        </w:rPr>
        <w:t>21</w:t>
      </w:r>
      <w:r w:rsidRPr="00EF0E92">
        <w:rPr>
          <w:lang w:val="fr-FR"/>
        </w:rPr>
        <w:fldChar w:fldCharType="end"/>
      </w:r>
      <w:r w:rsidRPr="00EF0E92">
        <w:rPr>
          <w:lang w:val="fr-FR"/>
        </w:rPr>
        <w:t xml:space="preserve"> et </w:t>
      </w:r>
      <w:r w:rsidRPr="00EF0E92">
        <w:rPr>
          <w:lang w:val="fr-FR"/>
        </w:rPr>
        <w:fldChar w:fldCharType="begin"/>
      </w:r>
      <w:r w:rsidRPr="00EF0E92">
        <w:rPr>
          <w:lang w:val="fr-FR"/>
        </w:rPr>
        <w:instrText xml:space="preserve"> REF para21 \h  \* MERGEFORMAT </w:instrText>
      </w:r>
      <w:r w:rsidRPr="00EF0E92">
        <w:rPr>
          <w:lang w:val="fr-FR"/>
        </w:rPr>
      </w:r>
      <w:r w:rsidRPr="00EF0E92">
        <w:rPr>
          <w:lang w:val="fr-FR"/>
        </w:rPr>
        <w:fldChar w:fldCharType="separate"/>
      </w:r>
      <w:r w:rsidR="00EF0E92" w:rsidRPr="00EF0E92">
        <w:rPr>
          <w:noProof/>
          <w:lang w:val="fr-FR"/>
        </w:rPr>
        <w:t>25</w:t>
      </w:r>
      <w:r w:rsidRPr="00EF0E92">
        <w:rPr>
          <w:lang w:val="fr-FR"/>
        </w:rPr>
        <w:fldChar w:fldCharType="end"/>
      </w:r>
      <w:r w:rsidRPr="00EF0E92">
        <w:rPr>
          <w:lang w:val="fr-FR"/>
        </w:rPr>
        <w:t xml:space="preserve"> ci-dessus).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43</w:t>
      </w:r>
      <w:r w:rsidRPr="00EF0E92">
        <w:rPr>
          <w:lang w:val="fr-FR"/>
        </w:rPr>
        <w:fldChar w:fldCharType="end"/>
      </w:r>
      <w:r w:rsidRPr="00EF0E92">
        <w:rPr>
          <w:lang w:val="fr-FR"/>
        </w:rPr>
        <w:t>.  En particulier, selon le Gouvernement, les autorités italiennes ont adopté toutes les mesures nécessaires pour que l</w:t>
      </w:r>
      <w:r w:rsidR="00EF0E92" w:rsidRPr="00EF0E92">
        <w:rPr>
          <w:lang w:val="fr-FR"/>
        </w:rPr>
        <w:t>’</w:t>
      </w:r>
      <w:r w:rsidRPr="00EF0E92">
        <w:rPr>
          <w:lang w:val="fr-FR"/>
        </w:rPr>
        <w:t>enfant puisse renouer avec son père. Le Gouvernement assure que les autorités ont évalué tous les éléments de l</w:t>
      </w:r>
      <w:r w:rsidR="00EF0E92" w:rsidRPr="00EF0E92">
        <w:rPr>
          <w:lang w:val="fr-FR"/>
        </w:rPr>
        <w:t>’</w:t>
      </w:r>
      <w:r w:rsidRPr="00EF0E92">
        <w:rPr>
          <w:lang w:val="fr-FR"/>
        </w:rPr>
        <w:t>affaire en se basant sur les expertises qui auraient déjà souligné, en 2011, que les rencontres entre le requérant et son fils n</w:t>
      </w:r>
      <w:r w:rsidR="00EF0E92" w:rsidRPr="00EF0E92">
        <w:rPr>
          <w:lang w:val="fr-FR"/>
        </w:rPr>
        <w:t>’</w:t>
      </w:r>
      <w:r w:rsidRPr="00EF0E92">
        <w:rPr>
          <w:lang w:val="fr-FR"/>
        </w:rPr>
        <w:t>étaient pas dans l</w:t>
      </w:r>
      <w:r w:rsidR="00EF0E92" w:rsidRPr="00EF0E92">
        <w:rPr>
          <w:lang w:val="fr-FR"/>
        </w:rPr>
        <w:t>’</w:t>
      </w:r>
      <w:r w:rsidRPr="00EF0E92">
        <w:rPr>
          <w:lang w:val="fr-FR"/>
        </w:rPr>
        <w:t>intérêt exclusif du mineur en raison de la réaction négative de celui-ci. Il ne s</w:t>
      </w:r>
      <w:r w:rsidR="00EF0E92" w:rsidRPr="00EF0E92">
        <w:rPr>
          <w:lang w:val="fr-FR"/>
        </w:rPr>
        <w:t>’</w:t>
      </w:r>
      <w:r w:rsidRPr="00EF0E92">
        <w:rPr>
          <w:lang w:val="fr-FR"/>
        </w:rPr>
        <w:t>agit pas, selon le Gouvernement, de décisions stéréotypées ou automatiques.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44</w:t>
      </w:r>
      <w:r w:rsidRPr="00EF0E92">
        <w:rPr>
          <w:lang w:val="fr-FR"/>
        </w:rPr>
        <w:fldChar w:fldCharType="end"/>
      </w:r>
      <w:r w:rsidRPr="00EF0E92">
        <w:rPr>
          <w:lang w:val="fr-FR"/>
        </w:rPr>
        <w:t>.  Le Gouvernement indique que, dans son rapport de 2016, l</w:t>
      </w:r>
      <w:r w:rsidR="00EF0E92" w:rsidRPr="00EF0E92">
        <w:rPr>
          <w:lang w:val="fr-FR"/>
        </w:rPr>
        <w:t>’</w:t>
      </w:r>
      <w:r w:rsidRPr="00EF0E92">
        <w:rPr>
          <w:lang w:val="fr-FR"/>
        </w:rPr>
        <w:t>expert a mis en évidence que les difficultés rencontrées dans le déroulement des rencontres auraient été dues aux refus de l</w:t>
      </w:r>
      <w:r w:rsidR="00EF0E92" w:rsidRPr="00EF0E92">
        <w:rPr>
          <w:lang w:val="fr-FR"/>
        </w:rPr>
        <w:t>’</w:t>
      </w:r>
      <w:r w:rsidRPr="00EF0E92">
        <w:rPr>
          <w:lang w:val="fr-FR"/>
        </w:rPr>
        <w:t>enfant, au fait que le requérant vivait à mille kilomètres de distance et au manque de coopération de ce dernier.</w:t>
      </w:r>
    </w:p>
    <w:p w:rsidR="00737889" w:rsidRPr="00EF0E92" w:rsidRDefault="00737889" w:rsidP="00EF0E92">
      <w:pPr>
        <w:pStyle w:val="ECHRPara"/>
        <w:rPr>
          <w:i/>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45</w:t>
      </w:r>
      <w:r w:rsidRPr="00EF0E92">
        <w:rPr>
          <w:lang w:val="fr-FR"/>
        </w:rPr>
        <w:fldChar w:fldCharType="end"/>
      </w:r>
      <w:r w:rsidRPr="00EF0E92">
        <w:rPr>
          <w:lang w:val="fr-FR"/>
        </w:rPr>
        <w:t>.  Selon le Gouvernement, les décisions des autorités judiciaires n</w:t>
      </w:r>
      <w:r w:rsidR="00EF0E92" w:rsidRPr="00EF0E92">
        <w:rPr>
          <w:lang w:val="fr-FR"/>
        </w:rPr>
        <w:t>’</w:t>
      </w:r>
      <w:r w:rsidRPr="00EF0E92">
        <w:rPr>
          <w:lang w:val="fr-FR"/>
        </w:rPr>
        <w:t>ont pas outrepassé la marge d</w:t>
      </w:r>
      <w:r w:rsidR="00EF0E92" w:rsidRPr="00EF0E92">
        <w:rPr>
          <w:lang w:val="fr-FR"/>
        </w:rPr>
        <w:t>’</w:t>
      </w:r>
      <w:r w:rsidRPr="00EF0E92">
        <w:rPr>
          <w:lang w:val="fr-FR"/>
        </w:rPr>
        <w:t>appréciation de l</w:t>
      </w:r>
      <w:r w:rsidR="00EF0E92" w:rsidRPr="00EF0E92">
        <w:rPr>
          <w:lang w:val="fr-FR"/>
        </w:rPr>
        <w:t>’</w:t>
      </w:r>
      <w:r w:rsidRPr="00EF0E92">
        <w:rPr>
          <w:lang w:val="fr-FR"/>
        </w:rPr>
        <w:t>État et les autorités en question ont fait tout ce que l</w:t>
      </w:r>
      <w:r w:rsidR="00EF0E92" w:rsidRPr="00EF0E92">
        <w:rPr>
          <w:lang w:val="fr-FR"/>
        </w:rPr>
        <w:t>’</w:t>
      </w:r>
      <w:r w:rsidRPr="00EF0E92">
        <w:rPr>
          <w:lang w:val="fr-FR"/>
        </w:rPr>
        <w:t>on pouvait raisonnablement attendre d</w:t>
      </w:r>
      <w:r w:rsidR="00EF0E92" w:rsidRPr="00EF0E92">
        <w:rPr>
          <w:lang w:val="fr-FR"/>
        </w:rPr>
        <w:t>’</w:t>
      </w:r>
      <w:r w:rsidRPr="00EF0E92">
        <w:rPr>
          <w:lang w:val="fr-FR"/>
        </w:rPr>
        <w:t>elles pour assurer le lien entre le requérant et son enfant. À cet égard, le Gouvernement dit que, selon la jurisprudence de la Cour, celle-ci ne peut substituer son appréciation à celle des autorités nationales. De plus, il répète que, selon la jurisprudence de la Cour, le fait que les efforts des autorités ont été vains ne mène pas automatiquement à la conclusion que l</w:t>
      </w:r>
      <w:r w:rsidR="00EF0E92" w:rsidRPr="00EF0E92">
        <w:rPr>
          <w:lang w:val="fr-FR"/>
        </w:rPr>
        <w:t>’</w:t>
      </w:r>
      <w:r w:rsidRPr="00EF0E92">
        <w:rPr>
          <w:lang w:val="fr-FR"/>
        </w:rPr>
        <w:t>État a manqué aux obligations positives qui découlent pour lui de l</w:t>
      </w:r>
      <w:r w:rsidR="00EF0E92" w:rsidRPr="00EF0E92">
        <w:rPr>
          <w:lang w:val="fr-FR"/>
        </w:rPr>
        <w:t>’</w:t>
      </w:r>
      <w:r w:rsidRPr="00EF0E92">
        <w:rPr>
          <w:lang w:val="fr-FR"/>
        </w:rPr>
        <w:t>article 8 de la Convention (</w:t>
      </w:r>
      <w:r w:rsidRPr="00EF0E92">
        <w:rPr>
          <w:i/>
          <w:lang w:val="fr-FR"/>
        </w:rPr>
        <w:t>Nicolò Santilli c. Italie</w:t>
      </w:r>
      <w:r w:rsidRPr="00EF0E92">
        <w:rPr>
          <w:lang w:val="fr-FR"/>
        </w:rPr>
        <w:t>, n</w:t>
      </w:r>
      <w:r w:rsidRPr="00EF0E92">
        <w:rPr>
          <w:vertAlign w:val="superscript"/>
          <w:lang w:val="fr-FR"/>
        </w:rPr>
        <w:t>o</w:t>
      </w:r>
      <w:r w:rsidRPr="00EF0E92">
        <w:rPr>
          <w:lang w:val="fr-FR"/>
        </w:rPr>
        <w:t xml:space="preserve"> 51930/10</w:t>
      </w:r>
      <w:r w:rsidRPr="00EF0E92">
        <w:rPr>
          <w:snapToGrid w:val="0"/>
          <w:lang w:val="fr-FR"/>
        </w:rPr>
        <w:t xml:space="preserve">, § 674, 17 </w:t>
      </w:r>
      <w:r w:rsidRPr="00EF0E92">
        <w:rPr>
          <w:lang w:val="fr-FR"/>
        </w:rPr>
        <w:t>décembre</w:t>
      </w:r>
      <w:r w:rsidRPr="00EF0E92">
        <w:rPr>
          <w:snapToGrid w:val="0"/>
          <w:lang w:val="fr-FR"/>
        </w:rPr>
        <w:t xml:space="preserve"> 2013</w:t>
      </w:r>
      <w:r w:rsidRPr="00EF0E92">
        <w:rPr>
          <w:lang w:val="fr-FR"/>
        </w:rPr>
        <w:t>).</w:t>
      </w:r>
    </w:p>
    <w:p w:rsidR="00737889" w:rsidRPr="00EF0E92" w:rsidRDefault="00737889" w:rsidP="00EF0E92">
      <w:pPr>
        <w:pStyle w:val="ECHRHeading3"/>
        <w:rPr>
          <w:lang w:val="fr-FR"/>
        </w:rPr>
      </w:pPr>
      <w:r w:rsidRPr="00EF0E92">
        <w:rPr>
          <w:lang w:val="fr-FR"/>
        </w:rPr>
        <w:lastRenderedPageBreak/>
        <w:t>2.  Appréciation de la Cour</w:t>
      </w:r>
    </w:p>
    <w:p w:rsidR="00737889" w:rsidRPr="00EF0E92" w:rsidRDefault="00737889" w:rsidP="00EF0E92">
      <w:pPr>
        <w:pStyle w:val="ECHRHeading4"/>
        <w:rPr>
          <w:lang w:val="fr-FR"/>
        </w:rPr>
      </w:pPr>
      <w:r w:rsidRPr="00EF0E92">
        <w:rPr>
          <w:lang w:val="fr-FR"/>
        </w:rPr>
        <w:t>a)  Principes généraux</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46</w:t>
      </w:r>
      <w:r w:rsidRPr="00EF0E92">
        <w:rPr>
          <w:lang w:val="fr-FR"/>
        </w:rPr>
        <w:fldChar w:fldCharType="end"/>
      </w:r>
      <w:r w:rsidRPr="00EF0E92">
        <w:rPr>
          <w:lang w:val="fr-FR"/>
        </w:rPr>
        <w:t>.  La Cour rappelle que, pour un parent et son enfant, être ensemble représente un élément fondamental de la vie familiale (</w:t>
      </w:r>
      <w:r w:rsidRPr="00EF0E92">
        <w:rPr>
          <w:i/>
          <w:iCs/>
          <w:lang w:val="fr-FR"/>
        </w:rPr>
        <w:t>Kutzner c.</w:t>
      </w:r>
      <w:r w:rsidR="004118D3" w:rsidRPr="00EF0E92">
        <w:rPr>
          <w:i/>
          <w:iCs/>
          <w:lang w:val="fr-FR"/>
        </w:rPr>
        <w:t> </w:t>
      </w:r>
      <w:r w:rsidRPr="00EF0E92">
        <w:rPr>
          <w:i/>
          <w:iCs/>
          <w:lang w:val="fr-FR"/>
        </w:rPr>
        <w:t>Allemagne</w:t>
      </w:r>
      <w:r w:rsidRPr="00EF0E92">
        <w:rPr>
          <w:lang w:val="fr-FR"/>
        </w:rPr>
        <w:t>, n</w:t>
      </w:r>
      <w:r w:rsidRPr="00EF0E92">
        <w:rPr>
          <w:vertAlign w:val="superscript"/>
          <w:lang w:val="fr-FR"/>
        </w:rPr>
        <w:t>o</w:t>
      </w:r>
      <w:r w:rsidRPr="00EF0E92">
        <w:rPr>
          <w:lang w:val="fr-FR"/>
        </w:rPr>
        <w:t xml:space="preserve"> 46544/99, § 58, CEDH 2002) et que des mesures internes qui les en empêchent constituent une ingérence dans le droit protégé par l</w:t>
      </w:r>
      <w:r w:rsidR="00EF0E92" w:rsidRPr="00EF0E92">
        <w:rPr>
          <w:lang w:val="fr-FR"/>
        </w:rPr>
        <w:t>’</w:t>
      </w:r>
      <w:r w:rsidRPr="00EF0E92">
        <w:rPr>
          <w:lang w:val="fr-FR"/>
        </w:rPr>
        <w:t>article 8 de la Convention (</w:t>
      </w:r>
      <w:r w:rsidRPr="00EF0E92">
        <w:rPr>
          <w:i/>
          <w:iCs/>
          <w:lang w:val="fr-FR"/>
        </w:rPr>
        <w:t>K. et T. c. Finlande</w:t>
      </w:r>
      <w:r w:rsidRPr="00EF0E92">
        <w:rPr>
          <w:lang w:val="fr-FR"/>
        </w:rPr>
        <w:t xml:space="preserve"> [GC</w:t>
      </w:r>
      <w:r w:rsidR="009431A9" w:rsidRPr="00EF0E92">
        <w:rPr>
          <w:lang w:val="fr-FR"/>
        </w:rPr>
        <w:t>, n</w:t>
      </w:r>
      <w:r w:rsidR="009431A9" w:rsidRPr="00EF0E92">
        <w:rPr>
          <w:vertAlign w:val="superscript"/>
          <w:lang w:val="fr-FR"/>
        </w:rPr>
        <w:t>o</w:t>
      </w:r>
      <w:r w:rsidR="009431A9" w:rsidRPr="00EF0E92">
        <w:rPr>
          <w:lang w:val="fr-FR"/>
        </w:rPr>
        <w:t xml:space="preserve"> </w:t>
      </w:r>
      <w:hyperlink r:id="rId15" w:anchor="%7B%22appno%22:%5B%2225702/94%22%5D%7D" w:tgtFrame="_blank" w:history="1">
        <w:r w:rsidRPr="00EF0E92">
          <w:rPr>
            <w:lang w:val="fr-FR"/>
          </w:rPr>
          <w:t>25702/94</w:t>
        </w:r>
      </w:hyperlink>
      <w:r w:rsidR="00EF0E92" w:rsidRPr="00EF0E92">
        <w:rPr>
          <w:lang w:val="fr-FR"/>
        </w:rPr>
        <w:t>, § 151, CEDH 2001</w:t>
      </w:r>
      <w:r w:rsidR="00EF0E92" w:rsidRPr="00EF0E92">
        <w:rPr>
          <w:lang w:val="fr-FR"/>
        </w:rPr>
        <w:noBreakHyphen/>
      </w:r>
      <w:r w:rsidRPr="00EF0E92">
        <w:rPr>
          <w:lang w:val="fr-FR"/>
        </w:rPr>
        <w:t>VII).</w:t>
      </w:r>
    </w:p>
    <w:p w:rsidR="009431A9" w:rsidRPr="00EF0E92" w:rsidRDefault="009431A9" w:rsidP="00EF0E92">
      <w:pPr>
        <w:pStyle w:val="ECHRPara"/>
        <w:rPr>
          <w:lang w:val="fr-FR"/>
        </w:rPr>
      </w:pPr>
      <w:r w:rsidRPr="00EF0E92">
        <w:rPr>
          <w:noProof/>
          <w:lang w:val="fr-FR"/>
        </w:rPr>
        <w:fldChar w:fldCharType="begin"/>
      </w:r>
      <w:r w:rsidRPr="00EF0E92">
        <w:rPr>
          <w:noProof/>
          <w:lang w:val="fr-FR"/>
        </w:rPr>
        <w:instrText xml:space="preserve"> SEQ level0 \*arabic </w:instrText>
      </w:r>
      <w:r w:rsidRPr="00EF0E92">
        <w:rPr>
          <w:noProof/>
          <w:lang w:val="fr-FR"/>
        </w:rPr>
        <w:fldChar w:fldCharType="separate"/>
      </w:r>
      <w:r w:rsidR="00EF0E92" w:rsidRPr="00EF0E92">
        <w:rPr>
          <w:noProof/>
          <w:lang w:val="fr-FR"/>
        </w:rPr>
        <w:t>47</w:t>
      </w:r>
      <w:r w:rsidRPr="00EF0E92">
        <w:rPr>
          <w:noProof/>
          <w:lang w:val="fr-FR"/>
        </w:rPr>
        <w:fldChar w:fldCharType="end"/>
      </w:r>
      <w:r w:rsidRPr="00EF0E92">
        <w:rPr>
          <w:noProof/>
          <w:lang w:val="fr-FR"/>
        </w:rPr>
        <w:t>.  La Cour rappelle que l</w:t>
      </w:r>
      <w:r w:rsidR="00EF0E92" w:rsidRPr="00EF0E92">
        <w:rPr>
          <w:noProof/>
          <w:lang w:val="fr-FR"/>
        </w:rPr>
        <w:t>’</w:t>
      </w:r>
      <w:r w:rsidRPr="00EF0E92">
        <w:rPr>
          <w:noProof/>
          <w:lang w:val="fr-FR"/>
        </w:rPr>
        <w:t>article 8 de la Convention tend pour l</w:t>
      </w:r>
      <w:r w:rsidR="00EF0E92" w:rsidRPr="00EF0E92">
        <w:rPr>
          <w:noProof/>
          <w:lang w:val="fr-FR"/>
        </w:rPr>
        <w:t>’</w:t>
      </w:r>
      <w:r w:rsidRPr="00EF0E92">
        <w:rPr>
          <w:noProof/>
          <w:lang w:val="fr-FR"/>
        </w:rPr>
        <w:t>essentiel à prémunir l</w:t>
      </w:r>
      <w:r w:rsidR="00EF0E92" w:rsidRPr="00EF0E92">
        <w:rPr>
          <w:noProof/>
          <w:lang w:val="fr-FR"/>
        </w:rPr>
        <w:t>’</w:t>
      </w:r>
      <w:r w:rsidRPr="00EF0E92">
        <w:rPr>
          <w:noProof/>
          <w:lang w:val="fr-FR"/>
        </w:rPr>
        <w:t>individu contre des ingérences arbitraires des pouvoirs publics et qu</w:t>
      </w:r>
      <w:r w:rsidR="00EF0E92" w:rsidRPr="00EF0E92">
        <w:rPr>
          <w:noProof/>
          <w:lang w:val="fr-FR"/>
        </w:rPr>
        <w:t>’</w:t>
      </w:r>
      <w:r w:rsidRPr="00EF0E92">
        <w:rPr>
          <w:noProof/>
          <w:lang w:val="fr-FR"/>
        </w:rPr>
        <w:t>il peut engendrer de surcroît des obligations positives inhérentes à un « respect » effectif de la vie familiale. La frontière entre les obligations positives et les obligations négatives de l</w:t>
      </w:r>
      <w:r w:rsidR="00EF0E92" w:rsidRPr="00EF0E92">
        <w:rPr>
          <w:noProof/>
          <w:lang w:val="fr-FR"/>
        </w:rPr>
        <w:t>’</w:t>
      </w:r>
      <w:r w:rsidRPr="00EF0E92">
        <w:rPr>
          <w:noProof/>
          <w:lang w:val="fr-FR"/>
        </w:rPr>
        <w:t xml:space="preserve">État au titre de cette disposition ne se prête pas à une définition précise ; les principes applicables sont néanmoins comparables. </w:t>
      </w:r>
      <w:r w:rsidRPr="00EF0E92">
        <w:rPr>
          <w:bCs/>
          <w:szCs w:val="24"/>
          <w:lang w:val="fr-FR"/>
        </w:rPr>
        <w:t>Dans les deux cas, il faut avoir égard au juste équilibre à ménager entre les intérêts concurrents de l</w:t>
      </w:r>
      <w:r w:rsidR="00EF0E92" w:rsidRPr="00EF0E92">
        <w:rPr>
          <w:bCs/>
          <w:szCs w:val="24"/>
          <w:lang w:val="fr-FR"/>
        </w:rPr>
        <w:t>’</w:t>
      </w:r>
      <w:r w:rsidRPr="00EF0E92">
        <w:rPr>
          <w:bCs/>
          <w:szCs w:val="24"/>
          <w:lang w:val="fr-FR"/>
        </w:rPr>
        <w:t>individu et de la société dans son ensemble</w:t>
      </w:r>
      <w:r w:rsidRPr="00EF0E92">
        <w:rPr>
          <w:bCs/>
          <w:lang w:val="fr-FR"/>
        </w:rPr>
        <w:t xml:space="preserve"> </w:t>
      </w:r>
      <w:r w:rsidRPr="00EF0E92">
        <w:rPr>
          <w:bCs/>
          <w:szCs w:val="24"/>
          <w:lang w:val="fr-FR"/>
        </w:rPr>
        <w:t>en tenant compte toutefois de ce que l</w:t>
      </w:r>
      <w:r w:rsidR="00EF0E92" w:rsidRPr="00EF0E92">
        <w:rPr>
          <w:bCs/>
          <w:szCs w:val="24"/>
          <w:lang w:val="fr-FR"/>
        </w:rPr>
        <w:t>’</w:t>
      </w:r>
      <w:r w:rsidRPr="00EF0E92">
        <w:rPr>
          <w:bCs/>
          <w:szCs w:val="24"/>
          <w:lang w:val="fr-FR"/>
        </w:rPr>
        <w:t>intérêt supérieur de l</w:t>
      </w:r>
      <w:r w:rsidR="00EF0E92" w:rsidRPr="00EF0E92">
        <w:rPr>
          <w:bCs/>
          <w:szCs w:val="24"/>
          <w:lang w:val="fr-FR"/>
        </w:rPr>
        <w:t>’</w:t>
      </w:r>
      <w:r w:rsidRPr="00EF0E92">
        <w:rPr>
          <w:bCs/>
          <w:szCs w:val="24"/>
          <w:lang w:val="fr-FR"/>
        </w:rPr>
        <w:t>enfant doit constituer la considération déterminante (</w:t>
      </w:r>
      <w:r w:rsidRPr="00EF0E92">
        <w:rPr>
          <w:bCs/>
          <w:i/>
          <w:iCs/>
          <w:szCs w:val="24"/>
          <w:lang w:val="fr-FR"/>
        </w:rPr>
        <w:t>Gnahoré c.</w:t>
      </w:r>
      <w:r w:rsidR="008F41EB" w:rsidRPr="00EF0E92">
        <w:rPr>
          <w:bCs/>
          <w:i/>
          <w:iCs/>
          <w:szCs w:val="24"/>
          <w:lang w:val="fr-FR"/>
        </w:rPr>
        <w:t> </w:t>
      </w:r>
      <w:r w:rsidRPr="00EF0E92">
        <w:rPr>
          <w:bCs/>
          <w:i/>
          <w:iCs/>
          <w:szCs w:val="24"/>
          <w:lang w:val="fr-FR"/>
        </w:rPr>
        <w:t>France</w:t>
      </w:r>
      <w:r w:rsidRPr="00EF0E92">
        <w:rPr>
          <w:bCs/>
          <w:szCs w:val="24"/>
          <w:lang w:val="fr-FR"/>
        </w:rPr>
        <w:t>, n</w:t>
      </w:r>
      <w:r w:rsidRPr="00EF0E92">
        <w:rPr>
          <w:bCs/>
          <w:szCs w:val="24"/>
          <w:vertAlign w:val="superscript"/>
          <w:lang w:val="fr-FR"/>
        </w:rPr>
        <w:t>o</w:t>
      </w:r>
      <w:r w:rsidRPr="00EF0E92">
        <w:rPr>
          <w:bCs/>
          <w:szCs w:val="24"/>
          <w:lang w:val="fr-FR"/>
        </w:rPr>
        <w:t xml:space="preserve"> 40031/98, § 59 CEDH 2000</w:t>
      </w:r>
      <w:r w:rsidRPr="00EF0E92">
        <w:rPr>
          <w:bCs/>
          <w:szCs w:val="24"/>
          <w:lang w:val="fr-FR"/>
        </w:rPr>
        <w:noBreakHyphen/>
        <w:t>IX) pouvant, selon sa nature et sa gravité, l</w:t>
      </w:r>
      <w:r w:rsidR="00EF0E92" w:rsidRPr="00EF0E92">
        <w:rPr>
          <w:bCs/>
          <w:szCs w:val="24"/>
          <w:lang w:val="fr-FR"/>
        </w:rPr>
        <w:t>’</w:t>
      </w:r>
      <w:r w:rsidRPr="00EF0E92">
        <w:rPr>
          <w:bCs/>
          <w:szCs w:val="24"/>
          <w:lang w:val="fr-FR"/>
        </w:rPr>
        <w:t>emporter sur celui des parents (</w:t>
      </w:r>
      <w:r w:rsidRPr="00EF0E92">
        <w:rPr>
          <w:bCs/>
          <w:i/>
          <w:szCs w:val="24"/>
          <w:lang w:val="fr-FR"/>
        </w:rPr>
        <w:t>Sahin c. Allemagne</w:t>
      </w:r>
      <w:r w:rsidRPr="00EF0E92">
        <w:rPr>
          <w:bCs/>
          <w:szCs w:val="24"/>
          <w:lang w:val="fr-FR"/>
        </w:rPr>
        <w:t xml:space="preserve"> [GC], n</w:t>
      </w:r>
      <w:r w:rsidR="008F41EB" w:rsidRPr="00EF0E92">
        <w:rPr>
          <w:bCs/>
          <w:szCs w:val="24"/>
          <w:vertAlign w:val="superscript"/>
          <w:lang w:val="fr-FR"/>
        </w:rPr>
        <w:t>o</w:t>
      </w:r>
      <w:r w:rsidRPr="00EF0E92">
        <w:rPr>
          <w:bCs/>
          <w:szCs w:val="24"/>
          <w:lang w:val="fr-FR"/>
        </w:rPr>
        <w:t> </w:t>
      </w:r>
      <w:hyperlink r:id="rId16" w:anchor="{&quot;appno&quot;:[&quot;30943/96&quot;]}" w:tgtFrame="_blank" w:history="1">
        <w:r w:rsidRPr="00EF0E92">
          <w:rPr>
            <w:rStyle w:val="Collegamentoipertestuale"/>
            <w:bCs/>
            <w:color w:val="auto"/>
            <w:szCs w:val="24"/>
            <w:u w:val="none"/>
            <w:lang w:val="fr-FR"/>
          </w:rPr>
          <w:t>30943/96</w:t>
        </w:r>
      </w:hyperlink>
      <w:r w:rsidRPr="00EF0E92">
        <w:rPr>
          <w:bCs/>
          <w:szCs w:val="24"/>
          <w:lang w:val="fr-FR"/>
        </w:rPr>
        <w:t>, § 66, CEDH 2003</w:t>
      </w:r>
      <w:r w:rsidRPr="00EF0E92">
        <w:rPr>
          <w:bCs/>
          <w:szCs w:val="24"/>
          <w:lang w:val="fr-FR"/>
        </w:rPr>
        <w:noBreakHyphen/>
        <w:t>VIII).</w:t>
      </w:r>
    </w:p>
    <w:p w:rsidR="009431A9" w:rsidRPr="00EF0E92" w:rsidRDefault="009431A9" w:rsidP="00EF0E92">
      <w:pPr>
        <w:pStyle w:val="ECHRPara"/>
        <w:rPr>
          <w:noProof/>
          <w:lang w:val="fr-FR"/>
        </w:rPr>
      </w:pPr>
      <w:r w:rsidRPr="00EF0E92">
        <w:rPr>
          <w:noProof/>
          <w:lang w:val="fr-FR"/>
        </w:rPr>
        <w:fldChar w:fldCharType="begin"/>
      </w:r>
      <w:r w:rsidRPr="00EF0E92">
        <w:rPr>
          <w:noProof/>
          <w:lang w:val="fr-FR"/>
        </w:rPr>
        <w:instrText xml:space="preserve"> SEQ level0 \*arabic </w:instrText>
      </w:r>
      <w:r w:rsidRPr="00EF0E92">
        <w:rPr>
          <w:noProof/>
          <w:lang w:val="fr-FR"/>
        </w:rPr>
        <w:fldChar w:fldCharType="separate"/>
      </w:r>
      <w:r w:rsidR="00EF0E92" w:rsidRPr="00EF0E92">
        <w:rPr>
          <w:noProof/>
          <w:lang w:val="fr-FR"/>
        </w:rPr>
        <w:t>48</w:t>
      </w:r>
      <w:r w:rsidRPr="00EF0E92">
        <w:rPr>
          <w:noProof/>
          <w:lang w:val="fr-FR"/>
        </w:rPr>
        <w:fldChar w:fldCharType="end"/>
      </w:r>
      <w:r w:rsidRPr="00EF0E92">
        <w:rPr>
          <w:noProof/>
          <w:lang w:val="fr-FR"/>
        </w:rPr>
        <w:t>.  La Cour rappelle également que l</w:t>
      </w:r>
      <w:r w:rsidR="00EF0E92" w:rsidRPr="00EF0E92">
        <w:rPr>
          <w:noProof/>
          <w:lang w:val="fr-FR"/>
        </w:rPr>
        <w:t>’</w:t>
      </w:r>
      <w:r w:rsidRPr="00EF0E92">
        <w:rPr>
          <w:noProof/>
          <w:lang w:val="fr-FR"/>
        </w:rPr>
        <w:t>obligation des autorités nationales de prendre des mesures pour faciliter des rencontres entre un parent et son enfant n</w:t>
      </w:r>
      <w:r w:rsidR="00EF0E92" w:rsidRPr="00EF0E92">
        <w:rPr>
          <w:noProof/>
          <w:lang w:val="fr-FR"/>
        </w:rPr>
        <w:t>’</w:t>
      </w:r>
      <w:r w:rsidRPr="00EF0E92">
        <w:rPr>
          <w:noProof/>
          <w:lang w:val="fr-FR"/>
        </w:rPr>
        <w:t>est pas absolue. Le point décisif consiste à savoir si les autorités nationales ont pris, pour faciliter les visites, toutes les mesures nécessaires que l</w:t>
      </w:r>
      <w:r w:rsidR="00EF0E92" w:rsidRPr="00EF0E92">
        <w:rPr>
          <w:noProof/>
          <w:lang w:val="fr-FR"/>
        </w:rPr>
        <w:t>’</w:t>
      </w:r>
      <w:r w:rsidRPr="00EF0E92">
        <w:rPr>
          <w:noProof/>
          <w:lang w:val="fr-FR"/>
        </w:rPr>
        <w:t>on pouvait raisonnablement exiger d</w:t>
      </w:r>
      <w:r w:rsidR="00EF0E92" w:rsidRPr="00EF0E92">
        <w:rPr>
          <w:noProof/>
          <w:lang w:val="fr-FR"/>
        </w:rPr>
        <w:t>’</w:t>
      </w:r>
      <w:r w:rsidRPr="00EF0E92">
        <w:rPr>
          <w:noProof/>
          <w:lang w:val="fr-FR"/>
        </w:rPr>
        <w:t>elles en l</w:t>
      </w:r>
      <w:r w:rsidR="00EF0E92" w:rsidRPr="00EF0E92">
        <w:rPr>
          <w:noProof/>
          <w:lang w:val="fr-FR"/>
        </w:rPr>
        <w:t>’</w:t>
      </w:r>
      <w:r w:rsidRPr="00EF0E92">
        <w:rPr>
          <w:noProof/>
          <w:lang w:val="fr-FR"/>
        </w:rPr>
        <w:t>occurrence (</w:t>
      </w:r>
      <w:r w:rsidRPr="00EF0E92">
        <w:rPr>
          <w:i/>
          <w:noProof/>
          <w:lang w:val="fr-FR"/>
        </w:rPr>
        <w:t>idem</w:t>
      </w:r>
      <w:r w:rsidRPr="00EF0E92">
        <w:rPr>
          <w:noProof/>
          <w:lang w:val="fr-FR"/>
        </w:rPr>
        <w:t>, § 58).</w:t>
      </w:r>
      <w:r w:rsidRPr="00EF0E92">
        <w:rPr>
          <w:b/>
          <w:bCs/>
          <w:szCs w:val="24"/>
          <w:lang w:val="fr-FR"/>
        </w:rPr>
        <w:t xml:space="preserve"> </w:t>
      </w:r>
      <w:r w:rsidRPr="00EF0E92">
        <w:rPr>
          <w:bCs/>
          <w:szCs w:val="24"/>
          <w:lang w:val="fr-FR"/>
        </w:rPr>
        <w:t>Dans ce genre d</w:t>
      </w:r>
      <w:r w:rsidR="00EF0E92" w:rsidRPr="00EF0E92">
        <w:rPr>
          <w:bCs/>
          <w:szCs w:val="24"/>
          <w:lang w:val="fr-FR"/>
        </w:rPr>
        <w:t>’</w:t>
      </w:r>
      <w:r w:rsidRPr="00EF0E92">
        <w:rPr>
          <w:bCs/>
          <w:szCs w:val="24"/>
          <w:lang w:val="fr-FR"/>
        </w:rPr>
        <w:t>affaire, le caractère adéquat d</w:t>
      </w:r>
      <w:r w:rsidR="00EF0E92" w:rsidRPr="00EF0E92">
        <w:rPr>
          <w:bCs/>
          <w:szCs w:val="24"/>
          <w:lang w:val="fr-FR"/>
        </w:rPr>
        <w:t>’</w:t>
      </w:r>
      <w:r w:rsidRPr="00EF0E92">
        <w:rPr>
          <w:bCs/>
          <w:szCs w:val="24"/>
          <w:lang w:val="fr-FR"/>
        </w:rPr>
        <w:t>une mesure se juge à la rapidité de sa mise en œuvre, car le passage du temps peut avoir des conséquences irrémédiables sur les relations entre l</w:t>
      </w:r>
      <w:r w:rsidR="00EF0E92" w:rsidRPr="00EF0E92">
        <w:rPr>
          <w:bCs/>
          <w:szCs w:val="24"/>
          <w:lang w:val="fr-FR"/>
        </w:rPr>
        <w:t>’</w:t>
      </w:r>
      <w:r w:rsidRPr="00EF0E92">
        <w:rPr>
          <w:bCs/>
          <w:szCs w:val="24"/>
          <w:lang w:val="fr-FR"/>
        </w:rPr>
        <w:t>enfant et le parent qui ne vit pas avec lui (</w:t>
      </w:r>
      <w:r w:rsidRPr="00EF0E92">
        <w:rPr>
          <w:bCs/>
          <w:i/>
          <w:iCs/>
          <w:szCs w:val="24"/>
          <w:lang w:val="fr-FR"/>
        </w:rPr>
        <w:t>Maumousseau et Washington c. France</w:t>
      </w:r>
      <w:r w:rsidRPr="00EF0E92">
        <w:rPr>
          <w:bCs/>
          <w:szCs w:val="24"/>
          <w:lang w:val="fr-FR"/>
        </w:rPr>
        <w:t>, n</w:t>
      </w:r>
      <w:r w:rsidR="008F41EB" w:rsidRPr="00EF0E92">
        <w:rPr>
          <w:bCs/>
          <w:szCs w:val="24"/>
          <w:vertAlign w:val="superscript"/>
          <w:lang w:val="fr-FR"/>
        </w:rPr>
        <w:t>o </w:t>
      </w:r>
      <w:hyperlink r:id="rId17" w:anchor="{&quot;appno&quot;:[&quot;39388/05&quot;]}" w:tgtFrame="_blank" w:history="1">
        <w:r w:rsidRPr="00EF0E92">
          <w:rPr>
            <w:rStyle w:val="Collegamentoipertestuale"/>
            <w:bCs/>
            <w:color w:val="auto"/>
            <w:szCs w:val="24"/>
            <w:u w:val="none"/>
            <w:lang w:val="fr-FR"/>
          </w:rPr>
          <w:t>39388/05</w:t>
        </w:r>
      </w:hyperlink>
      <w:r w:rsidR="008F41EB" w:rsidRPr="00EF0E92">
        <w:rPr>
          <w:rStyle w:val="Collegamentoipertestuale"/>
          <w:bCs/>
          <w:color w:val="auto"/>
          <w:szCs w:val="24"/>
          <w:u w:val="none"/>
          <w:lang w:val="fr-FR"/>
        </w:rPr>
        <w:t xml:space="preserve"> </w:t>
      </w:r>
      <w:r w:rsidRPr="00EF0E92">
        <w:rPr>
          <w:bCs/>
          <w:szCs w:val="24"/>
          <w:lang w:val="fr-FR"/>
        </w:rPr>
        <w:t>§ </w:t>
      </w:r>
      <w:r w:rsidR="00EF0E92" w:rsidRPr="00EF0E92">
        <w:rPr>
          <w:bCs/>
          <w:szCs w:val="24"/>
          <w:lang w:val="fr-FR"/>
        </w:rPr>
        <w:t>83, 6 </w:t>
      </w:r>
      <w:r w:rsidRPr="00EF0E92">
        <w:rPr>
          <w:bCs/>
          <w:szCs w:val="24"/>
          <w:lang w:val="fr-FR"/>
        </w:rPr>
        <w:t xml:space="preserve">décembre 2007 ; </w:t>
      </w:r>
      <w:r w:rsidRPr="00EF0E92">
        <w:rPr>
          <w:bCs/>
          <w:i/>
          <w:iCs/>
          <w:szCs w:val="24"/>
          <w:lang w:val="fr-FR"/>
        </w:rPr>
        <w:t>Zhou c. Italie</w:t>
      </w:r>
      <w:r w:rsidRPr="00EF0E92">
        <w:rPr>
          <w:bCs/>
          <w:snapToGrid w:val="0"/>
          <w:szCs w:val="24"/>
          <w:lang w:val="fr-FR"/>
        </w:rPr>
        <w:t xml:space="preserve">, </w:t>
      </w:r>
      <w:r w:rsidRPr="00EF0E92">
        <w:rPr>
          <w:bCs/>
          <w:szCs w:val="24"/>
          <w:lang w:val="fr-FR"/>
        </w:rPr>
        <w:t>n</w:t>
      </w:r>
      <w:r w:rsidRPr="00EF0E92">
        <w:rPr>
          <w:bCs/>
          <w:szCs w:val="24"/>
          <w:vertAlign w:val="superscript"/>
          <w:lang w:val="fr-FR"/>
        </w:rPr>
        <w:t>o</w:t>
      </w:r>
      <w:r w:rsidRPr="00EF0E92">
        <w:rPr>
          <w:bCs/>
          <w:szCs w:val="24"/>
          <w:lang w:val="fr-FR"/>
        </w:rPr>
        <w:t xml:space="preserve"> 33773/11, § 48, 21</w:t>
      </w:r>
      <w:r w:rsidR="008F41EB" w:rsidRPr="00EF0E92">
        <w:rPr>
          <w:bCs/>
          <w:szCs w:val="24"/>
          <w:lang w:val="fr-FR"/>
        </w:rPr>
        <w:t> </w:t>
      </w:r>
      <w:r w:rsidRPr="00EF0E92">
        <w:rPr>
          <w:bCs/>
          <w:szCs w:val="24"/>
          <w:lang w:val="fr-FR"/>
        </w:rPr>
        <w:t xml:space="preserve">janvier 2014 ; </w:t>
      </w:r>
      <w:r w:rsidRPr="00EF0E92">
        <w:rPr>
          <w:bCs/>
          <w:i/>
          <w:iCs/>
          <w:szCs w:val="24"/>
          <w:lang w:val="fr-FR"/>
        </w:rPr>
        <w:t>Kuppinger c. Allemagne</w:t>
      </w:r>
      <w:r w:rsidRPr="00EF0E92">
        <w:rPr>
          <w:bCs/>
          <w:szCs w:val="24"/>
          <w:lang w:val="fr-FR"/>
        </w:rPr>
        <w:t>, n</w:t>
      </w:r>
      <w:r w:rsidRPr="00EF0E92">
        <w:rPr>
          <w:bCs/>
          <w:szCs w:val="24"/>
          <w:vertAlign w:val="superscript"/>
          <w:lang w:val="fr-FR"/>
        </w:rPr>
        <w:t>o</w:t>
      </w:r>
      <w:r w:rsidRPr="00EF0E92">
        <w:rPr>
          <w:bCs/>
          <w:szCs w:val="24"/>
          <w:lang w:val="fr-FR"/>
        </w:rPr>
        <w:t xml:space="preserve"> 62198/11</w:t>
      </w:r>
      <w:r w:rsidRPr="00EF0E92">
        <w:rPr>
          <w:bCs/>
          <w:snapToGrid w:val="0"/>
          <w:szCs w:val="24"/>
          <w:lang w:val="fr-FR"/>
        </w:rPr>
        <w:t xml:space="preserve">, § 102, 15 </w:t>
      </w:r>
      <w:r w:rsidRPr="00EF0E92">
        <w:rPr>
          <w:bCs/>
          <w:szCs w:val="24"/>
          <w:lang w:val="fr-FR"/>
        </w:rPr>
        <w:t>janvier</w:t>
      </w:r>
      <w:r w:rsidRPr="00EF0E92">
        <w:rPr>
          <w:bCs/>
          <w:snapToGrid w:val="0"/>
          <w:szCs w:val="24"/>
          <w:lang w:val="fr-FR"/>
        </w:rPr>
        <w:t xml:space="preserve"> 2015</w:t>
      </w:r>
      <w:r w:rsidRPr="00EF0E92">
        <w:rPr>
          <w:bCs/>
          <w:szCs w:val="24"/>
          <w:lang w:val="fr-FR"/>
        </w:rPr>
        <w:t>).</w:t>
      </w:r>
      <w:r w:rsidRPr="00EF0E92">
        <w:rPr>
          <w:szCs w:val="24"/>
          <w:lang w:val="fr-FR"/>
        </w:rPr>
        <w:t xml:space="preserve"> </w:t>
      </w:r>
      <w:r w:rsidRPr="00EF0E92">
        <w:rPr>
          <w:bCs/>
          <w:szCs w:val="24"/>
          <w:lang w:val="fr-FR"/>
        </w:rPr>
        <w:t>Le facteur temps revêt donc une importance particulière car tout retard procédural risque de trancher en fait le problème en litige (</w:t>
      </w:r>
      <w:r w:rsidRPr="00EF0E92">
        <w:rPr>
          <w:bCs/>
          <w:i/>
          <w:iCs/>
          <w:szCs w:val="24"/>
          <w:lang w:val="fr-FR"/>
        </w:rPr>
        <w:t>H. c.</w:t>
      </w:r>
      <w:r w:rsidR="008F41EB" w:rsidRPr="00EF0E92">
        <w:rPr>
          <w:bCs/>
          <w:i/>
          <w:iCs/>
          <w:szCs w:val="24"/>
          <w:lang w:val="fr-FR"/>
        </w:rPr>
        <w:t> </w:t>
      </w:r>
      <w:r w:rsidRPr="00EF0E92">
        <w:rPr>
          <w:bCs/>
          <w:i/>
          <w:iCs/>
          <w:szCs w:val="24"/>
          <w:lang w:val="fr-FR"/>
        </w:rPr>
        <w:t>Royaume-Uni,</w:t>
      </w:r>
      <w:r w:rsidRPr="00EF0E92">
        <w:rPr>
          <w:bCs/>
          <w:szCs w:val="24"/>
          <w:lang w:val="fr-FR"/>
        </w:rPr>
        <w:t xml:space="preserve"> arrêt du 8 juillet 1987, série A n</w:t>
      </w:r>
      <w:r w:rsidR="008F41EB" w:rsidRPr="00EF0E92">
        <w:rPr>
          <w:bCs/>
          <w:szCs w:val="24"/>
          <w:vertAlign w:val="superscript"/>
          <w:lang w:val="fr-FR"/>
        </w:rPr>
        <w:t>o</w:t>
      </w:r>
      <w:r w:rsidRPr="00EF0E92">
        <w:rPr>
          <w:bCs/>
          <w:szCs w:val="24"/>
          <w:lang w:val="fr-FR"/>
        </w:rPr>
        <w:t xml:space="preserve"> 120, pp. 63-64, §§ 89-90 ; </w:t>
      </w:r>
      <w:r w:rsidRPr="00EF0E92">
        <w:rPr>
          <w:bCs/>
          <w:i/>
          <w:iCs/>
          <w:szCs w:val="24"/>
          <w:lang w:val="fr-FR"/>
        </w:rPr>
        <w:t>P.F.</w:t>
      </w:r>
      <w:r w:rsidRPr="00EF0E92">
        <w:rPr>
          <w:bCs/>
          <w:szCs w:val="24"/>
          <w:lang w:val="fr-FR"/>
        </w:rPr>
        <w:t xml:space="preserve"> </w:t>
      </w:r>
      <w:r w:rsidRPr="00EF0E92">
        <w:rPr>
          <w:bCs/>
          <w:i/>
          <w:iCs/>
          <w:szCs w:val="24"/>
          <w:lang w:val="fr-FR"/>
        </w:rPr>
        <w:t>c.</w:t>
      </w:r>
      <w:r w:rsidR="00147F07" w:rsidRPr="00EF0E92">
        <w:rPr>
          <w:bCs/>
          <w:i/>
          <w:iCs/>
          <w:szCs w:val="24"/>
          <w:lang w:val="fr-FR"/>
        </w:rPr>
        <w:t> </w:t>
      </w:r>
      <w:r w:rsidRPr="00EF0E92">
        <w:rPr>
          <w:bCs/>
          <w:i/>
          <w:iCs/>
          <w:szCs w:val="24"/>
          <w:lang w:val="fr-FR"/>
        </w:rPr>
        <w:t>Pologne</w:t>
      </w:r>
      <w:r w:rsidRPr="00EF0E92">
        <w:rPr>
          <w:bCs/>
          <w:snapToGrid w:val="0"/>
          <w:szCs w:val="24"/>
          <w:lang w:val="fr-FR"/>
        </w:rPr>
        <w:t xml:space="preserve">, </w:t>
      </w:r>
      <w:r w:rsidRPr="00EF0E92">
        <w:rPr>
          <w:bCs/>
          <w:szCs w:val="24"/>
          <w:lang w:val="fr-FR"/>
        </w:rPr>
        <w:t>n</w:t>
      </w:r>
      <w:r w:rsidRPr="00EF0E92">
        <w:rPr>
          <w:bCs/>
          <w:szCs w:val="24"/>
          <w:vertAlign w:val="superscript"/>
          <w:lang w:val="fr-FR"/>
        </w:rPr>
        <w:t>o</w:t>
      </w:r>
      <w:r w:rsidRPr="00EF0E92">
        <w:rPr>
          <w:bCs/>
          <w:szCs w:val="24"/>
          <w:lang w:val="fr-FR"/>
        </w:rPr>
        <w:t> 2210/12</w:t>
      </w:r>
      <w:r w:rsidRPr="00EF0E92">
        <w:rPr>
          <w:bCs/>
          <w:snapToGrid w:val="0"/>
          <w:szCs w:val="24"/>
          <w:lang w:val="fr-FR"/>
        </w:rPr>
        <w:t xml:space="preserve">, § 56, 16 </w:t>
      </w:r>
      <w:r w:rsidRPr="00EF0E92">
        <w:rPr>
          <w:bCs/>
          <w:szCs w:val="24"/>
          <w:lang w:val="fr-FR"/>
        </w:rPr>
        <w:t>septembre</w:t>
      </w:r>
      <w:r w:rsidRPr="00EF0E92">
        <w:rPr>
          <w:bCs/>
          <w:snapToGrid w:val="0"/>
          <w:szCs w:val="24"/>
          <w:lang w:val="fr-FR"/>
        </w:rPr>
        <w:t xml:space="preserve"> 2014</w:t>
      </w:r>
      <w:r w:rsidRPr="00EF0E92">
        <w:rPr>
          <w:bCs/>
          <w:szCs w:val="24"/>
          <w:lang w:val="fr-FR"/>
        </w:rPr>
        <w:t>).</w:t>
      </w:r>
    </w:p>
    <w:p w:rsidR="009431A9" w:rsidRPr="00EF0E92" w:rsidRDefault="009431A9" w:rsidP="00EF0E92">
      <w:pPr>
        <w:pStyle w:val="ECHRPara"/>
        <w:rPr>
          <w:noProof/>
          <w:lang w:val="fr-FR"/>
        </w:rPr>
      </w:pPr>
      <w:r w:rsidRPr="00EF0E92">
        <w:rPr>
          <w:noProof/>
          <w:lang w:val="fr-FR"/>
        </w:rPr>
        <w:fldChar w:fldCharType="begin"/>
      </w:r>
      <w:r w:rsidRPr="00EF0E92">
        <w:rPr>
          <w:noProof/>
          <w:lang w:val="fr-FR"/>
        </w:rPr>
        <w:instrText xml:space="preserve"> SEQ level0 \*arabic </w:instrText>
      </w:r>
      <w:r w:rsidRPr="00EF0E92">
        <w:rPr>
          <w:noProof/>
          <w:lang w:val="fr-FR"/>
        </w:rPr>
        <w:fldChar w:fldCharType="separate"/>
      </w:r>
      <w:r w:rsidR="00EF0E92" w:rsidRPr="00EF0E92">
        <w:rPr>
          <w:noProof/>
          <w:lang w:val="fr-FR"/>
        </w:rPr>
        <w:t>49</w:t>
      </w:r>
      <w:r w:rsidRPr="00EF0E92">
        <w:rPr>
          <w:noProof/>
          <w:lang w:val="fr-FR"/>
        </w:rPr>
        <w:fldChar w:fldCharType="end"/>
      </w:r>
      <w:r w:rsidRPr="00EF0E92">
        <w:rPr>
          <w:noProof/>
          <w:lang w:val="fr-FR"/>
        </w:rPr>
        <w:t>.  Par ailleurs, les autorités nationales bénéficiant de rapports directs avec tous les intéressés, la Cour répète qu</w:t>
      </w:r>
      <w:r w:rsidR="00EF0E92" w:rsidRPr="00EF0E92">
        <w:rPr>
          <w:noProof/>
          <w:lang w:val="fr-FR"/>
        </w:rPr>
        <w:t>’</w:t>
      </w:r>
      <w:r w:rsidRPr="00EF0E92">
        <w:rPr>
          <w:noProof/>
          <w:lang w:val="fr-FR"/>
        </w:rPr>
        <w:t>elle n</w:t>
      </w:r>
      <w:r w:rsidR="00EF0E92" w:rsidRPr="00EF0E92">
        <w:rPr>
          <w:noProof/>
          <w:lang w:val="fr-FR"/>
        </w:rPr>
        <w:t>’</w:t>
      </w:r>
      <w:r w:rsidRPr="00EF0E92">
        <w:rPr>
          <w:noProof/>
          <w:lang w:val="fr-FR"/>
        </w:rPr>
        <w:t>a point pour tâche de réglementer les questions de garde et de visite. Toutefois, il lui incombe d</w:t>
      </w:r>
      <w:r w:rsidR="00EF0E92" w:rsidRPr="00EF0E92">
        <w:rPr>
          <w:noProof/>
          <w:lang w:val="fr-FR"/>
        </w:rPr>
        <w:t>’</w:t>
      </w:r>
      <w:r w:rsidRPr="00EF0E92">
        <w:rPr>
          <w:noProof/>
          <w:lang w:val="fr-FR"/>
        </w:rPr>
        <w:t>apprécier sous l</w:t>
      </w:r>
      <w:r w:rsidR="00EF0E92" w:rsidRPr="00EF0E92">
        <w:rPr>
          <w:noProof/>
          <w:lang w:val="fr-FR"/>
        </w:rPr>
        <w:t>’</w:t>
      </w:r>
      <w:r w:rsidRPr="00EF0E92">
        <w:rPr>
          <w:noProof/>
          <w:lang w:val="fr-FR"/>
        </w:rPr>
        <w:t>angle de la Convention les décisions que ces instances ont rendues dans l</w:t>
      </w:r>
      <w:r w:rsidR="00EF0E92" w:rsidRPr="00EF0E92">
        <w:rPr>
          <w:noProof/>
          <w:lang w:val="fr-FR"/>
        </w:rPr>
        <w:t>’</w:t>
      </w:r>
      <w:r w:rsidRPr="00EF0E92">
        <w:rPr>
          <w:noProof/>
          <w:lang w:val="fr-FR"/>
        </w:rPr>
        <w:t>exercice de leur pouvoir d</w:t>
      </w:r>
      <w:r w:rsidR="00EF0E92" w:rsidRPr="00EF0E92">
        <w:rPr>
          <w:noProof/>
          <w:lang w:val="fr-FR"/>
        </w:rPr>
        <w:t>’</w:t>
      </w:r>
      <w:r w:rsidRPr="00EF0E92">
        <w:rPr>
          <w:noProof/>
          <w:lang w:val="fr-FR"/>
        </w:rPr>
        <w:t>appréciation</w:t>
      </w:r>
      <w:bookmarkStart w:id="6" w:name="PG"/>
      <w:bookmarkEnd w:id="6"/>
      <w:r w:rsidRPr="00EF0E92">
        <w:rPr>
          <w:noProof/>
          <w:lang w:val="fr-FR"/>
        </w:rPr>
        <w:t>. La marge d</w:t>
      </w:r>
      <w:r w:rsidR="00EF0E92" w:rsidRPr="00EF0E92">
        <w:rPr>
          <w:noProof/>
          <w:lang w:val="fr-FR"/>
        </w:rPr>
        <w:t>’</w:t>
      </w:r>
      <w:r w:rsidRPr="00EF0E92">
        <w:rPr>
          <w:noProof/>
          <w:lang w:val="fr-FR"/>
        </w:rPr>
        <w:t>appréciation laissée aux autorités nationales compétentes varie selon la nature des questions en litige et l</w:t>
      </w:r>
      <w:r w:rsidR="00EF0E92" w:rsidRPr="00EF0E92">
        <w:rPr>
          <w:noProof/>
          <w:lang w:val="fr-FR"/>
        </w:rPr>
        <w:t>’</w:t>
      </w:r>
      <w:r w:rsidRPr="00EF0E92">
        <w:rPr>
          <w:noProof/>
          <w:lang w:val="fr-FR"/>
        </w:rPr>
        <w:t>importance des intérêts en jeu.</w:t>
      </w:r>
    </w:p>
    <w:p w:rsidR="009431A9" w:rsidRPr="00EF0E92" w:rsidRDefault="009431A9" w:rsidP="00EF0E92">
      <w:pPr>
        <w:pStyle w:val="ECHRPara"/>
        <w:rPr>
          <w:noProof/>
          <w:lang w:val="fr-FR"/>
        </w:rPr>
      </w:pPr>
      <w:r w:rsidRPr="00EF0E92">
        <w:rPr>
          <w:noProof/>
          <w:lang w:val="fr-FR"/>
        </w:rPr>
        <w:lastRenderedPageBreak/>
        <w:fldChar w:fldCharType="begin"/>
      </w:r>
      <w:r w:rsidRPr="00EF0E92">
        <w:rPr>
          <w:noProof/>
          <w:lang w:val="fr-FR"/>
        </w:rPr>
        <w:instrText xml:space="preserve"> SEQ level0 \*arabic </w:instrText>
      </w:r>
      <w:r w:rsidRPr="00EF0E92">
        <w:rPr>
          <w:noProof/>
          <w:lang w:val="fr-FR"/>
        </w:rPr>
        <w:fldChar w:fldCharType="separate"/>
      </w:r>
      <w:r w:rsidR="00EF0E92" w:rsidRPr="00EF0E92">
        <w:rPr>
          <w:noProof/>
          <w:lang w:val="fr-FR"/>
        </w:rPr>
        <w:t>50</w:t>
      </w:r>
      <w:r w:rsidRPr="00EF0E92">
        <w:rPr>
          <w:noProof/>
          <w:lang w:val="fr-FR"/>
        </w:rPr>
        <w:fldChar w:fldCharType="end"/>
      </w:r>
      <w:r w:rsidRPr="00EF0E92">
        <w:rPr>
          <w:noProof/>
          <w:lang w:val="fr-FR"/>
        </w:rPr>
        <w:t>.  La Cour reconnaît que les autorités jouissent d</w:t>
      </w:r>
      <w:r w:rsidR="00EF0E92" w:rsidRPr="00EF0E92">
        <w:rPr>
          <w:noProof/>
          <w:lang w:val="fr-FR"/>
        </w:rPr>
        <w:t>’</w:t>
      </w:r>
      <w:r w:rsidRPr="00EF0E92">
        <w:rPr>
          <w:noProof/>
          <w:lang w:val="fr-FR"/>
        </w:rPr>
        <w:t>une grande latitude en particulier en matière de droit de garde. Il faut en revanche exercer un contrôle plus rigoureux sur les restrictions supplémentaires, comme celles apportées par les autorités au droit de visite des parents, et sur les garanties juridiques destinées à assurer la protection effective du droit des parents et des enfants au respect de leur vie familiale. Ces restrictions supplémentaires comportent le risque d</w:t>
      </w:r>
      <w:r w:rsidR="00EF0E92" w:rsidRPr="00EF0E92">
        <w:rPr>
          <w:noProof/>
          <w:lang w:val="fr-FR"/>
        </w:rPr>
        <w:t>’</w:t>
      </w:r>
      <w:r w:rsidRPr="00EF0E92">
        <w:rPr>
          <w:noProof/>
          <w:lang w:val="fr-FR"/>
        </w:rPr>
        <w:t>amputer les relations familiales entre un jeune enfant et l</w:t>
      </w:r>
      <w:r w:rsidR="00EF0E92" w:rsidRPr="00EF0E92">
        <w:rPr>
          <w:noProof/>
          <w:lang w:val="fr-FR"/>
        </w:rPr>
        <w:t>’</w:t>
      </w:r>
      <w:r w:rsidRPr="00EF0E92">
        <w:rPr>
          <w:noProof/>
          <w:lang w:val="fr-FR"/>
        </w:rPr>
        <w:t>un de ses parents ou les deux (</w:t>
      </w:r>
      <w:r w:rsidRPr="00EF0E92">
        <w:rPr>
          <w:i/>
          <w:noProof/>
          <w:lang w:val="fr-FR"/>
        </w:rPr>
        <w:t>Sommerfeld c. Allemagne</w:t>
      </w:r>
      <w:r w:rsidRPr="00EF0E92">
        <w:rPr>
          <w:noProof/>
          <w:lang w:val="fr-FR"/>
        </w:rPr>
        <w:t xml:space="preserve"> [GC], n</w:t>
      </w:r>
      <w:r w:rsidR="009F13D7" w:rsidRPr="00EF0E92">
        <w:rPr>
          <w:noProof/>
          <w:vertAlign w:val="superscript"/>
          <w:lang w:val="fr-FR"/>
        </w:rPr>
        <w:t>o</w:t>
      </w:r>
      <w:r w:rsidRPr="00EF0E92">
        <w:rPr>
          <w:noProof/>
          <w:lang w:val="fr-FR"/>
        </w:rPr>
        <w:t> </w:t>
      </w:r>
      <w:hyperlink r:id="rId18" w:anchor="{&quot;appno&quot;:[&quot;31871/96&quot;]}" w:tgtFrame="_blank" w:history="1">
        <w:r w:rsidRPr="00EF0E92">
          <w:rPr>
            <w:noProof/>
            <w:lang w:val="fr-FR"/>
          </w:rPr>
          <w:t>31871/96</w:t>
        </w:r>
      </w:hyperlink>
      <w:r w:rsidRPr="00EF0E92">
        <w:rPr>
          <w:noProof/>
          <w:lang w:val="fr-FR"/>
        </w:rPr>
        <w:t>, §§ 62-63, CEDH 2003-VIII).</w:t>
      </w:r>
    </w:p>
    <w:p w:rsidR="00EF0E92" w:rsidRPr="00EF0E92" w:rsidRDefault="009431A9" w:rsidP="00EF0E92">
      <w:pPr>
        <w:pStyle w:val="ECHRPara"/>
        <w:rPr>
          <w:lang w:val="fr-FR"/>
        </w:rPr>
      </w:pPr>
      <w:r w:rsidRPr="00EF0E92">
        <w:rPr>
          <w:rFonts w:ascii="Times New Roman" w:eastAsiaTheme="minorHAnsi" w:hAnsi="Times New Roman" w:cs="Times New Roman"/>
          <w:color w:val="000000"/>
          <w:lang w:val="fr-FR"/>
        </w:rPr>
        <w:fldChar w:fldCharType="begin"/>
      </w:r>
      <w:r w:rsidRPr="00EF0E92">
        <w:rPr>
          <w:rFonts w:ascii="Times New Roman" w:eastAsiaTheme="minorHAnsi" w:hAnsi="Times New Roman" w:cs="Times New Roman"/>
          <w:color w:val="000000"/>
          <w:lang w:val="fr-FR"/>
        </w:rPr>
        <w:instrText xml:space="preserve"> SEQ level0 \*arabic </w:instrText>
      </w:r>
      <w:r w:rsidRPr="00EF0E92">
        <w:rPr>
          <w:rFonts w:ascii="Times New Roman" w:eastAsiaTheme="minorHAnsi" w:hAnsi="Times New Roman" w:cs="Times New Roman"/>
          <w:color w:val="000000"/>
          <w:lang w:val="fr-FR"/>
        </w:rPr>
        <w:fldChar w:fldCharType="separate"/>
      </w:r>
      <w:r w:rsidR="00EF0E92" w:rsidRPr="00EF0E92">
        <w:rPr>
          <w:rFonts w:ascii="Times New Roman" w:eastAsiaTheme="minorHAnsi" w:hAnsi="Times New Roman" w:cs="Times New Roman"/>
          <w:noProof/>
          <w:color w:val="000000"/>
          <w:lang w:val="fr-FR"/>
        </w:rPr>
        <w:t>51</w:t>
      </w:r>
      <w:r w:rsidRPr="00EF0E92">
        <w:rPr>
          <w:rFonts w:ascii="Times New Roman" w:eastAsiaTheme="minorHAnsi" w:hAnsi="Times New Roman" w:cs="Times New Roman"/>
          <w:color w:val="000000"/>
          <w:lang w:val="fr-FR"/>
        </w:rPr>
        <w:fldChar w:fldCharType="end"/>
      </w:r>
      <w:r w:rsidRPr="00EF0E92">
        <w:rPr>
          <w:rFonts w:ascii="Times New Roman" w:eastAsiaTheme="minorHAnsi" w:hAnsi="Times New Roman" w:cs="Times New Roman"/>
          <w:color w:val="000000"/>
          <w:lang w:val="fr-FR"/>
        </w:rPr>
        <w:t>.  </w:t>
      </w:r>
      <w:r w:rsidR="00AD5330" w:rsidRPr="00EF0E92">
        <w:rPr>
          <w:lang w:val="fr-FR"/>
        </w:rPr>
        <w:t>La Cour rappelle encore que le fait que les efforts des autorités ont été vains ne mène pas automatiquement à la conclusion que l</w:t>
      </w:r>
      <w:r w:rsidR="00EF0E92" w:rsidRPr="00EF0E92">
        <w:rPr>
          <w:lang w:val="fr-FR"/>
        </w:rPr>
        <w:t>’</w:t>
      </w:r>
      <w:r w:rsidR="00AD5330" w:rsidRPr="00EF0E92">
        <w:rPr>
          <w:lang w:val="fr-FR"/>
        </w:rPr>
        <w:t>État a manqué aux obligations positives qui découlent pour lui de l</w:t>
      </w:r>
      <w:r w:rsidR="00EF0E92" w:rsidRPr="00EF0E92">
        <w:rPr>
          <w:lang w:val="fr-FR"/>
        </w:rPr>
        <w:t>’</w:t>
      </w:r>
      <w:r w:rsidR="00AD5330" w:rsidRPr="00EF0E92">
        <w:rPr>
          <w:lang w:val="fr-FR"/>
        </w:rPr>
        <w:t xml:space="preserve">article 8 de la Convention (voir, </w:t>
      </w:r>
      <w:r w:rsidR="00AD5330" w:rsidRPr="00EF0E92">
        <w:rPr>
          <w:i/>
          <w:iCs/>
          <w:lang w:val="fr-FR"/>
        </w:rPr>
        <w:t>mutatis mutandis</w:t>
      </w:r>
      <w:r w:rsidR="00AD5330" w:rsidRPr="00EF0E92">
        <w:rPr>
          <w:lang w:val="fr-FR"/>
        </w:rPr>
        <w:t>,</w:t>
      </w:r>
      <w:r w:rsidR="00AD5330" w:rsidRPr="00EF0E92">
        <w:rPr>
          <w:i/>
          <w:iCs/>
          <w:lang w:val="fr-FR"/>
        </w:rPr>
        <w:t xml:space="preserve"> </w:t>
      </w:r>
      <w:r w:rsidR="00743E71" w:rsidRPr="00EF0E92">
        <w:rPr>
          <w:i/>
          <w:lang w:val="fr-FR"/>
        </w:rPr>
        <w:t>Mihailova c. Bulgarie</w:t>
      </w:r>
      <w:r w:rsidR="00743E71" w:rsidRPr="00EF0E92">
        <w:rPr>
          <w:lang w:val="fr-FR"/>
        </w:rPr>
        <w:t>, n</w:t>
      </w:r>
      <w:r w:rsidR="00743E71" w:rsidRPr="00EF0E92">
        <w:rPr>
          <w:vertAlign w:val="superscript"/>
          <w:lang w:val="fr-FR"/>
        </w:rPr>
        <w:t>o</w:t>
      </w:r>
      <w:r w:rsidR="00743E71" w:rsidRPr="00EF0E92">
        <w:rPr>
          <w:lang w:val="fr-FR"/>
        </w:rPr>
        <w:t xml:space="preserve"> 35978/02, §</w:t>
      </w:r>
      <w:r w:rsidR="008F41EB" w:rsidRPr="00EF0E92">
        <w:rPr>
          <w:lang w:val="fr-FR"/>
        </w:rPr>
        <w:t> </w:t>
      </w:r>
      <w:r w:rsidR="00743E71" w:rsidRPr="00EF0E92">
        <w:rPr>
          <w:lang w:val="fr-FR"/>
        </w:rPr>
        <w:t>82 12 janvier 2006</w:t>
      </w:r>
      <w:r w:rsidR="00AD5330" w:rsidRPr="00EF0E92">
        <w:rPr>
          <w:lang w:val="fr-FR"/>
        </w:rPr>
        <w:t>,). En effet, l</w:t>
      </w:r>
      <w:r w:rsidR="00EF0E92" w:rsidRPr="00EF0E92">
        <w:rPr>
          <w:lang w:val="fr-FR"/>
        </w:rPr>
        <w:t>’</w:t>
      </w:r>
      <w:r w:rsidR="00AD5330" w:rsidRPr="00EF0E92">
        <w:rPr>
          <w:lang w:val="fr-FR"/>
        </w:rPr>
        <w:t>obligation pour les autorités nationales de prendre des mesures propres à réunir l</w:t>
      </w:r>
      <w:r w:rsidR="00EF0E92" w:rsidRPr="00EF0E92">
        <w:rPr>
          <w:lang w:val="fr-FR"/>
        </w:rPr>
        <w:t>’</w:t>
      </w:r>
      <w:r w:rsidR="00AD5330" w:rsidRPr="00EF0E92">
        <w:rPr>
          <w:lang w:val="fr-FR"/>
        </w:rPr>
        <w:t>enfant et le parent avec lequel il ne vit pas n</w:t>
      </w:r>
      <w:r w:rsidR="00EF0E92" w:rsidRPr="00EF0E92">
        <w:rPr>
          <w:lang w:val="fr-FR"/>
        </w:rPr>
        <w:t>’</w:t>
      </w:r>
      <w:r w:rsidR="00AD5330" w:rsidRPr="00EF0E92">
        <w:rPr>
          <w:lang w:val="fr-FR"/>
        </w:rPr>
        <w:t>est pas absolue, et la compréhension et la coopération de l</w:t>
      </w:r>
      <w:r w:rsidR="00EF0E92" w:rsidRPr="00EF0E92">
        <w:rPr>
          <w:lang w:val="fr-FR"/>
        </w:rPr>
        <w:t>’</w:t>
      </w:r>
      <w:r w:rsidR="00AD5330" w:rsidRPr="00EF0E92">
        <w:rPr>
          <w:lang w:val="fr-FR"/>
        </w:rPr>
        <w:t>ensemble des personnes concernées constituent toujours un facteur important. Si les autorités nationales doivent s</w:t>
      </w:r>
      <w:r w:rsidR="00EF0E92" w:rsidRPr="00EF0E92">
        <w:rPr>
          <w:lang w:val="fr-FR"/>
        </w:rPr>
        <w:t>’</w:t>
      </w:r>
      <w:r w:rsidR="00AD5330" w:rsidRPr="00EF0E92">
        <w:rPr>
          <w:lang w:val="fr-FR"/>
        </w:rPr>
        <w:t>efforcer de faciliter pareille collaboration, une obligation pour elles de recourir à la coercition en la matière ne saurait être que limitée : il leur faut tenir compte des intérêts et des droits et libertés de ces mêmes personnes, et, notamment, des intérêts supérieurs de l</w:t>
      </w:r>
      <w:r w:rsidR="00EF0E92" w:rsidRPr="00EF0E92">
        <w:rPr>
          <w:lang w:val="fr-FR"/>
        </w:rPr>
        <w:t>’</w:t>
      </w:r>
      <w:r w:rsidR="00AD5330" w:rsidRPr="00EF0E92">
        <w:rPr>
          <w:lang w:val="fr-FR"/>
        </w:rPr>
        <w:t>enfant et des droits qui sont conférés à ce dernier par l</w:t>
      </w:r>
      <w:r w:rsidR="00EF0E92" w:rsidRPr="00EF0E92">
        <w:rPr>
          <w:lang w:val="fr-FR"/>
        </w:rPr>
        <w:t>’</w:t>
      </w:r>
      <w:r w:rsidR="00AD5330" w:rsidRPr="00EF0E92">
        <w:rPr>
          <w:lang w:val="fr-FR"/>
        </w:rPr>
        <w:t>article 8 de la Convention (</w:t>
      </w:r>
      <w:r w:rsidR="00AD5330" w:rsidRPr="00EF0E92">
        <w:rPr>
          <w:i/>
          <w:iCs/>
          <w:lang w:val="fr-FR"/>
        </w:rPr>
        <w:t>Voleský c. République tchèque</w:t>
      </w:r>
      <w:r w:rsidR="00AD5330" w:rsidRPr="00EF0E92">
        <w:rPr>
          <w:lang w:val="fr-FR"/>
        </w:rPr>
        <w:t>, n</w:t>
      </w:r>
      <w:r w:rsidR="00AD5330" w:rsidRPr="00EF0E92">
        <w:rPr>
          <w:vertAlign w:val="superscript"/>
          <w:lang w:val="fr-FR"/>
        </w:rPr>
        <w:t>o</w:t>
      </w:r>
      <w:r w:rsidR="00AD5330" w:rsidRPr="00EF0E92">
        <w:rPr>
          <w:lang w:val="fr-FR"/>
        </w:rPr>
        <w:t> 63267/00, § 118, 29</w:t>
      </w:r>
      <w:r w:rsidR="008F41EB" w:rsidRPr="00EF0E92">
        <w:rPr>
          <w:lang w:val="fr-FR"/>
        </w:rPr>
        <w:t> </w:t>
      </w:r>
      <w:r w:rsidR="00AD5330" w:rsidRPr="00EF0E92">
        <w:rPr>
          <w:lang w:val="fr-FR"/>
        </w:rPr>
        <w:t>juin 2004). Comme la jurisprudence de la Cour le reconnaît de manière constante, la plus grande prudence s</w:t>
      </w:r>
      <w:r w:rsidR="00EF0E92" w:rsidRPr="00EF0E92">
        <w:rPr>
          <w:lang w:val="fr-FR"/>
        </w:rPr>
        <w:t>’</w:t>
      </w:r>
      <w:r w:rsidR="00AD5330" w:rsidRPr="00EF0E92">
        <w:rPr>
          <w:lang w:val="fr-FR"/>
        </w:rPr>
        <w:t>impose lorsqu</w:t>
      </w:r>
      <w:r w:rsidR="00EF0E92" w:rsidRPr="00EF0E92">
        <w:rPr>
          <w:lang w:val="fr-FR"/>
        </w:rPr>
        <w:t>’</w:t>
      </w:r>
      <w:r w:rsidR="00AD5330" w:rsidRPr="00EF0E92">
        <w:rPr>
          <w:lang w:val="fr-FR"/>
        </w:rPr>
        <w:t>il s</w:t>
      </w:r>
      <w:r w:rsidR="00EF0E92" w:rsidRPr="00EF0E92">
        <w:rPr>
          <w:lang w:val="fr-FR"/>
        </w:rPr>
        <w:t>’</w:t>
      </w:r>
      <w:r w:rsidR="00AD5330" w:rsidRPr="00EF0E92">
        <w:rPr>
          <w:lang w:val="fr-FR"/>
        </w:rPr>
        <w:t>agit de recourir à la coercition en ce domaine délicat (</w:t>
      </w:r>
      <w:r w:rsidR="00AD5330" w:rsidRPr="00EF0E92">
        <w:rPr>
          <w:i/>
          <w:iCs/>
          <w:lang w:val="fr-FR"/>
        </w:rPr>
        <w:t>Reigado Ramos c. Portugal</w:t>
      </w:r>
      <w:r w:rsidR="00AD5330" w:rsidRPr="00EF0E92">
        <w:rPr>
          <w:lang w:val="fr-FR"/>
        </w:rPr>
        <w:t>, n</w:t>
      </w:r>
      <w:r w:rsidR="00AD5330" w:rsidRPr="00EF0E92">
        <w:rPr>
          <w:vertAlign w:val="superscript"/>
          <w:lang w:val="fr-FR"/>
        </w:rPr>
        <w:t>o</w:t>
      </w:r>
      <w:r w:rsidR="00AD5330" w:rsidRPr="00EF0E92">
        <w:rPr>
          <w:lang w:val="fr-FR"/>
        </w:rPr>
        <w:t xml:space="preserve"> 73229/01, § 53, 22 novembre 2005 et </w:t>
      </w:r>
      <w:r w:rsidR="00AD5330" w:rsidRPr="00EF0E92">
        <w:rPr>
          <w:i/>
          <w:iCs/>
          <w:lang w:val="fr-FR"/>
        </w:rPr>
        <w:t>Mitrova et Savik</w:t>
      </w:r>
      <w:r w:rsidR="00AD5330" w:rsidRPr="00EF0E92">
        <w:rPr>
          <w:lang w:val="fr-FR"/>
        </w:rPr>
        <w:t xml:space="preserve"> </w:t>
      </w:r>
      <w:r w:rsidR="00AD5330" w:rsidRPr="00EF0E92">
        <w:rPr>
          <w:i/>
          <w:iCs/>
          <w:lang w:val="fr-FR"/>
        </w:rPr>
        <w:t>c. l</w:t>
      </w:r>
      <w:r w:rsidR="00EF0E92" w:rsidRPr="00EF0E92">
        <w:rPr>
          <w:i/>
          <w:iCs/>
          <w:lang w:val="fr-FR"/>
        </w:rPr>
        <w:t>’</w:t>
      </w:r>
      <w:r w:rsidR="00AD5330" w:rsidRPr="00EF0E92">
        <w:rPr>
          <w:i/>
          <w:iCs/>
          <w:lang w:val="fr-FR"/>
        </w:rPr>
        <w:t>ex-République yougoslave de Macédoine</w:t>
      </w:r>
      <w:r w:rsidR="00AD5330" w:rsidRPr="00EF0E92">
        <w:rPr>
          <w:lang w:val="fr-FR"/>
        </w:rPr>
        <w:t>, n</w:t>
      </w:r>
      <w:r w:rsidR="00AD5330" w:rsidRPr="00EF0E92">
        <w:rPr>
          <w:vertAlign w:val="superscript"/>
          <w:lang w:val="fr-FR"/>
        </w:rPr>
        <w:t>o </w:t>
      </w:r>
      <w:r w:rsidR="00AD5330" w:rsidRPr="00EF0E92">
        <w:rPr>
          <w:lang w:val="fr-FR"/>
        </w:rPr>
        <w:t>42534/09, § 77, 11 février 2016) et l</w:t>
      </w:r>
      <w:r w:rsidR="00EF0E92" w:rsidRPr="00EF0E92">
        <w:rPr>
          <w:lang w:val="fr-FR"/>
        </w:rPr>
        <w:t>’</w:t>
      </w:r>
      <w:r w:rsidR="00AD5330" w:rsidRPr="00EF0E92">
        <w:rPr>
          <w:lang w:val="fr-FR"/>
        </w:rPr>
        <w:t>article 8 de la Convention ne saurait autoriser un parent à faire prendre des mesures préjudiciables à la santé et au développement de l</w:t>
      </w:r>
      <w:r w:rsidR="00EF0E92" w:rsidRPr="00EF0E92">
        <w:rPr>
          <w:lang w:val="fr-FR"/>
        </w:rPr>
        <w:t>’</w:t>
      </w:r>
      <w:r w:rsidR="00AD5330" w:rsidRPr="00EF0E92">
        <w:rPr>
          <w:lang w:val="fr-FR"/>
        </w:rPr>
        <w:t>enfant (</w:t>
      </w:r>
      <w:r w:rsidR="00AD5330" w:rsidRPr="00EF0E92">
        <w:rPr>
          <w:i/>
          <w:iCs/>
          <w:lang w:val="fr-FR"/>
        </w:rPr>
        <w:t>Elsholz c. Allemagne</w:t>
      </w:r>
      <w:r w:rsidR="00EF0E92" w:rsidRPr="00EF0E92">
        <w:rPr>
          <w:lang w:val="fr-FR"/>
        </w:rPr>
        <w:t xml:space="preserve"> [GC], nº 25735/94, §§ </w:t>
      </w:r>
      <w:r w:rsidR="00AD5330" w:rsidRPr="00EF0E92">
        <w:rPr>
          <w:lang w:val="fr-FR"/>
        </w:rPr>
        <w:t>49</w:t>
      </w:r>
      <w:r w:rsidR="00AD5330" w:rsidRPr="00EF0E92">
        <w:rPr>
          <w:lang w:val="fr-FR"/>
        </w:rPr>
        <w:noBreakHyphen/>
        <w:t>50, CEDH 2000</w:t>
      </w:r>
      <w:r w:rsidR="00AD5330" w:rsidRPr="00EF0E92">
        <w:rPr>
          <w:lang w:val="fr-FR"/>
        </w:rPr>
        <w:noBreakHyphen/>
        <w:t>VIII).</w:t>
      </w:r>
    </w:p>
    <w:p w:rsidR="00737889" w:rsidRPr="00EF0E92" w:rsidRDefault="00737889" w:rsidP="00EF0E92">
      <w:pPr>
        <w:pStyle w:val="ECHRHeading4"/>
        <w:rPr>
          <w:rFonts w:eastAsiaTheme="minorHAnsi"/>
          <w:lang w:val="fr-FR"/>
        </w:rPr>
      </w:pPr>
      <w:r w:rsidRPr="00EF0E92">
        <w:rPr>
          <w:rFonts w:eastAsiaTheme="minorHAnsi"/>
          <w:lang w:val="fr-FR"/>
        </w:rPr>
        <w:t>b)  Application de ces principes à la présente espèce</w:t>
      </w:r>
    </w:p>
    <w:p w:rsidR="00737889" w:rsidRPr="00EF0E92" w:rsidRDefault="00737889" w:rsidP="00EF0E92">
      <w:pPr>
        <w:pStyle w:val="ECHRPara"/>
        <w:rPr>
          <w:rFonts w:eastAsia="Times New Roman"/>
          <w:lang w:val="fr-FR"/>
        </w:rPr>
      </w:pPr>
      <w:r w:rsidRPr="00EF0E92">
        <w:rPr>
          <w:rFonts w:eastAsia="Times New Roman"/>
          <w:lang w:val="fr-FR"/>
        </w:rPr>
        <w:fldChar w:fldCharType="begin"/>
      </w:r>
      <w:r w:rsidRPr="00EF0E92">
        <w:rPr>
          <w:rFonts w:eastAsia="Times New Roman"/>
          <w:lang w:val="fr-FR"/>
        </w:rPr>
        <w:instrText xml:space="preserve"> SEQ level0 \*arabic </w:instrText>
      </w:r>
      <w:r w:rsidRPr="00EF0E92">
        <w:rPr>
          <w:rFonts w:eastAsia="Times New Roman"/>
          <w:lang w:val="fr-FR"/>
        </w:rPr>
        <w:fldChar w:fldCharType="separate"/>
      </w:r>
      <w:r w:rsidR="00EF0E92" w:rsidRPr="00EF0E92">
        <w:rPr>
          <w:rFonts w:eastAsia="Times New Roman"/>
          <w:noProof/>
          <w:lang w:val="fr-FR"/>
        </w:rPr>
        <w:t>52</w:t>
      </w:r>
      <w:r w:rsidRPr="00EF0E92">
        <w:rPr>
          <w:rFonts w:eastAsia="Times New Roman"/>
          <w:lang w:val="fr-FR"/>
        </w:rPr>
        <w:fldChar w:fldCharType="end"/>
      </w:r>
      <w:r w:rsidRPr="00EF0E92">
        <w:rPr>
          <w:rFonts w:eastAsia="Times New Roman"/>
          <w:lang w:val="fr-FR"/>
        </w:rPr>
        <w:t>.  Se tournant vers les faits de la présente cause, la Cour note d</w:t>
      </w:r>
      <w:r w:rsidR="00EF0E92" w:rsidRPr="00EF0E92">
        <w:rPr>
          <w:rFonts w:eastAsia="Times New Roman"/>
          <w:lang w:val="fr-FR"/>
        </w:rPr>
        <w:t>’</w:t>
      </w:r>
      <w:r w:rsidRPr="00EF0E92">
        <w:rPr>
          <w:rFonts w:eastAsia="Times New Roman"/>
          <w:lang w:val="fr-FR"/>
        </w:rPr>
        <w:t>emblée qu</w:t>
      </w:r>
      <w:r w:rsidR="00EF0E92" w:rsidRPr="00EF0E92">
        <w:rPr>
          <w:rFonts w:eastAsia="Times New Roman"/>
          <w:lang w:val="fr-FR"/>
        </w:rPr>
        <w:t>’</w:t>
      </w:r>
      <w:r w:rsidRPr="00EF0E92">
        <w:rPr>
          <w:rFonts w:eastAsia="Times New Roman"/>
          <w:lang w:val="fr-FR"/>
        </w:rPr>
        <w:t>il n</w:t>
      </w:r>
      <w:r w:rsidR="00EF0E92" w:rsidRPr="00EF0E92">
        <w:rPr>
          <w:rFonts w:eastAsia="Times New Roman"/>
          <w:lang w:val="fr-FR"/>
        </w:rPr>
        <w:t>’</w:t>
      </w:r>
      <w:r w:rsidRPr="00EF0E92">
        <w:rPr>
          <w:rFonts w:eastAsia="Times New Roman"/>
          <w:lang w:val="fr-FR"/>
        </w:rPr>
        <w:t>est pas contesté que le lien entre le requérant et son enfant relève de la vie familiale au sens de l</w:t>
      </w:r>
      <w:r w:rsidR="00EF0E92" w:rsidRPr="00EF0E92">
        <w:rPr>
          <w:rFonts w:eastAsia="Times New Roman"/>
          <w:lang w:val="fr-FR"/>
        </w:rPr>
        <w:t>’</w:t>
      </w:r>
      <w:r w:rsidRPr="00EF0E92">
        <w:rPr>
          <w:rFonts w:eastAsia="Times New Roman"/>
          <w:lang w:val="fr-FR"/>
        </w:rPr>
        <w:t>article 8 de la Convention.</w:t>
      </w:r>
    </w:p>
    <w:p w:rsidR="00737889" w:rsidRPr="00EF0E92" w:rsidRDefault="00737889" w:rsidP="00EF0E92">
      <w:pPr>
        <w:pStyle w:val="ECHRPara"/>
        <w:rPr>
          <w:lang w:val="fr-FR"/>
        </w:rPr>
      </w:pP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53</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Dans la présente affaire, la Cour note tout d</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abord que, au moment de la séparation du couple, T.L.G. est partie vivre avec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 xml:space="preserve">enfant, âgé de six mois, à mille kilomètres de distance du lieu de résidence du requérant. Elle relève que, selon </w:t>
      </w:r>
      <w:r w:rsidRPr="00EF0E92">
        <w:rPr>
          <w:lang w:val="fr-FR"/>
        </w:rPr>
        <w:t>l</w:t>
      </w:r>
      <w:r w:rsidR="00EF0E92" w:rsidRPr="00EF0E92">
        <w:rPr>
          <w:lang w:val="fr-FR"/>
        </w:rPr>
        <w:t>’</w:t>
      </w:r>
      <w:r w:rsidRPr="00EF0E92">
        <w:rPr>
          <w:lang w:val="fr-FR"/>
        </w:rPr>
        <w:t>accord conclu entre les parties, la garde était confiée aux deux parents, la résidence principale de l</w:t>
      </w:r>
      <w:r w:rsidR="00EF0E92" w:rsidRPr="00EF0E92">
        <w:rPr>
          <w:lang w:val="fr-FR"/>
        </w:rPr>
        <w:t>’</w:t>
      </w:r>
      <w:r w:rsidRPr="00EF0E92">
        <w:rPr>
          <w:lang w:val="fr-FR"/>
        </w:rPr>
        <w:t>enfant était fixée chez la mère, en Sicile, et le requérant bénéficiait d</w:t>
      </w:r>
      <w:r w:rsidR="00EF0E92" w:rsidRPr="00EF0E92">
        <w:rPr>
          <w:lang w:val="fr-FR"/>
        </w:rPr>
        <w:t>’</w:t>
      </w:r>
      <w:r w:rsidRPr="00EF0E92">
        <w:rPr>
          <w:lang w:val="fr-FR"/>
        </w:rPr>
        <w:t>un droit de visite et d</w:t>
      </w:r>
      <w:r w:rsidR="00EF0E92" w:rsidRPr="00EF0E92">
        <w:rPr>
          <w:lang w:val="fr-FR"/>
        </w:rPr>
        <w:t>’</w:t>
      </w:r>
      <w:r w:rsidRPr="00EF0E92">
        <w:rPr>
          <w:lang w:val="fr-FR"/>
        </w:rPr>
        <w:t xml:space="preserve">hébergement très étendu. </w:t>
      </w:r>
      <w:r w:rsidRPr="00EF0E92">
        <w:rPr>
          <w:rFonts w:ascii="Times New Roman" w:eastAsiaTheme="minorHAnsi" w:hAnsi="Times New Roman" w:cs="Times New Roman"/>
          <w:color w:val="000000"/>
          <w:szCs w:val="24"/>
          <w:lang w:val="fr-FR"/>
        </w:rPr>
        <w:t>Elle observe que T.L.G. s</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est très tôt opposée au droit de visite du requérant et à toute relation entre ce dernier et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enfant.</w:t>
      </w:r>
    </w:p>
    <w:p w:rsidR="00737889" w:rsidRPr="00EF0E92" w:rsidRDefault="00737889" w:rsidP="00EF0E92">
      <w:pPr>
        <w:pStyle w:val="ECHRPara"/>
        <w:rPr>
          <w:rFonts w:ascii="Times New Roman" w:eastAsiaTheme="minorHAnsi" w:hAnsi="Times New Roman" w:cs="Times New Roman"/>
          <w:color w:val="000000"/>
          <w:szCs w:val="24"/>
          <w:lang w:val="fr-FR"/>
        </w:rPr>
      </w:pPr>
      <w:r w:rsidRPr="00EF0E92">
        <w:rPr>
          <w:rFonts w:ascii="Times New Roman" w:eastAsiaTheme="minorHAnsi" w:hAnsi="Times New Roman" w:cs="Times New Roman"/>
          <w:color w:val="000000"/>
          <w:szCs w:val="24"/>
          <w:lang w:val="fr-FR"/>
        </w:rPr>
        <w:lastRenderedPageBreak/>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54</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La Cour constate que, en 2007, T.L.G. a déposé une première plainte contre le requérant pour violences sexuelles sur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enfant. Cette première plainte a été classée en 2008. La Cour note que, par la suite, toujours en 2008, T.L.G. a déposé une deuxième plainte devant le parquet de Catane. Elle relève que le parquet de Catane n</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a rendu sa décision de classement de la plainte que trois ans plus tard et que, entre-temps, une procédure visant à déchoir le requérant de son autorité parentale avait été engagée et les rencontres entre celui-ci et son fils interrompues.</w:t>
      </w:r>
    </w:p>
    <w:p w:rsidR="00737889" w:rsidRPr="00EF0E92" w:rsidRDefault="00737889" w:rsidP="00EF0E92">
      <w:pPr>
        <w:pStyle w:val="ECHRPara"/>
        <w:rPr>
          <w:lang w:val="fr-FR"/>
        </w:rPr>
      </w:pP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55</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La Cour observe que, en 2011,</w:t>
      </w:r>
      <w:r w:rsidRPr="00EF0E92">
        <w:rPr>
          <w:lang w:val="fr-FR"/>
        </w:rPr>
        <w:t xml:space="preserve"> les experts ont exclu que l</w:t>
      </w:r>
      <w:r w:rsidR="00EF0E92" w:rsidRPr="00EF0E92">
        <w:rPr>
          <w:lang w:val="fr-FR"/>
        </w:rPr>
        <w:t>’</w:t>
      </w:r>
      <w:r w:rsidRPr="00EF0E92">
        <w:rPr>
          <w:lang w:val="fr-FR"/>
        </w:rPr>
        <w:t>enfant eût subi des violences sexuelles et souligné</w:t>
      </w:r>
      <w:r w:rsidR="005427F8" w:rsidRPr="00EF0E92">
        <w:rPr>
          <w:lang w:val="fr-FR"/>
        </w:rPr>
        <w:t>, par la même occasion,</w:t>
      </w:r>
      <w:r w:rsidRPr="00EF0E92">
        <w:rPr>
          <w:lang w:val="fr-FR"/>
        </w:rPr>
        <w:t xml:space="preserve"> qu</w:t>
      </w:r>
      <w:r w:rsidR="00EF0E92" w:rsidRPr="00EF0E92">
        <w:rPr>
          <w:lang w:val="fr-FR"/>
        </w:rPr>
        <w:t>’</w:t>
      </w:r>
      <w:r w:rsidRPr="00EF0E92">
        <w:rPr>
          <w:lang w:val="fr-FR"/>
        </w:rPr>
        <w:t>il souffrait du conflit existant entre ses parents et d</w:t>
      </w:r>
      <w:r w:rsidR="00EF0E92" w:rsidRPr="00EF0E92">
        <w:rPr>
          <w:lang w:val="fr-FR"/>
        </w:rPr>
        <w:t>’</w:t>
      </w:r>
      <w:r w:rsidRPr="00EF0E92">
        <w:rPr>
          <w:lang w:val="fr-FR"/>
        </w:rPr>
        <w:t xml:space="preserve">un abus psychologique. </w:t>
      </w:r>
      <w:r w:rsidR="005427F8" w:rsidRPr="00EF0E92">
        <w:rPr>
          <w:lang w:val="fr-FR"/>
        </w:rPr>
        <w:t xml:space="preserve">La Cour </w:t>
      </w:r>
      <w:r w:rsidRPr="00EF0E92">
        <w:rPr>
          <w:lang w:val="fr-FR"/>
        </w:rPr>
        <w:t>relève que, par conséquent, le tribunal de Catane, compte tenu du classement de la plainte pénale, a décidé qu</w:t>
      </w:r>
      <w:r w:rsidR="00EF0E92" w:rsidRPr="00EF0E92">
        <w:rPr>
          <w:lang w:val="fr-FR"/>
        </w:rPr>
        <w:t>’</w:t>
      </w:r>
      <w:r w:rsidRPr="00EF0E92">
        <w:rPr>
          <w:lang w:val="fr-FR"/>
        </w:rPr>
        <w:t>il n</w:t>
      </w:r>
      <w:r w:rsidR="00EF0E92" w:rsidRPr="00EF0E92">
        <w:rPr>
          <w:lang w:val="fr-FR"/>
        </w:rPr>
        <w:t>’</w:t>
      </w:r>
      <w:r w:rsidRPr="00EF0E92">
        <w:rPr>
          <w:lang w:val="fr-FR"/>
        </w:rPr>
        <w:t>y avait plus lieu d</w:t>
      </w:r>
      <w:r w:rsidR="00EF0E92" w:rsidRPr="00EF0E92">
        <w:rPr>
          <w:lang w:val="fr-FR"/>
        </w:rPr>
        <w:t>’</w:t>
      </w:r>
      <w:r w:rsidRPr="00EF0E92">
        <w:rPr>
          <w:lang w:val="fr-FR"/>
        </w:rPr>
        <w:t xml:space="preserve">interdire les contacts entre le requérant et son fils. </w:t>
      </w:r>
      <w:r w:rsidRPr="00EF0E92">
        <w:rPr>
          <w:rFonts w:eastAsiaTheme="minorHAnsi"/>
          <w:lang w:val="fr-FR"/>
        </w:rPr>
        <w:t xml:space="preserve">À cet égard, elle note </w:t>
      </w:r>
      <w:r w:rsidR="00EF0E92" w:rsidRPr="00EF0E92">
        <w:rPr>
          <w:rFonts w:eastAsiaTheme="minorHAnsi"/>
          <w:lang w:val="fr-FR"/>
        </w:rPr>
        <w:t>que, entre août 2011 et </w:t>
      </w:r>
      <w:r w:rsidRPr="00EF0E92">
        <w:rPr>
          <w:rFonts w:eastAsiaTheme="minorHAnsi"/>
          <w:lang w:val="fr-FR"/>
        </w:rPr>
        <w:t>avril 2015, aucune rencontre n</w:t>
      </w:r>
      <w:r w:rsidR="00EF0E92" w:rsidRPr="00EF0E92">
        <w:rPr>
          <w:rFonts w:eastAsiaTheme="minorHAnsi"/>
          <w:lang w:val="fr-FR"/>
        </w:rPr>
        <w:t>’</w:t>
      </w:r>
      <w:r w:rsidRPr="00EF0E92">
        <w:rPr>
          <w:rFonts w:eastAsiaTheme="minorHAnsi"/>
          <w:lang w:val="fr-FR"/>
        </w:rPr>
        <w:t>a eu lieu</w:t>
      </w:r>
      <w:r w:rsidRPr="00EF0E92">
        <w:rPr>
          <w:lang w:val="fr-FR"/>
        </w:rPr>
        <w:t xml:space="preserve"> et qu</w:t>
      </w:r>
      <w:r w:rsidR="00EF0E92" w:rsidRPr="00EF0E92">
        <w:rPr>
          <w:lang w:val="fr-FR"/>
        </w:rPr>
        <w:t>’</w:t>
      </w:r>
      <w:r w:rsidRPr="00EF0E92">
        <w:rPr>
          <w:lang w:val="fr-FR"/>
        </w:rPr>
        <w:t>aucune mesure n</w:t>
      </w:r>
      <w:r w:rsidR="00EF0E92" w:rsidRPr="00EF0E92">
        <w:rPr>
          <w:lang w:val="fr-FR"/>
        </w:rPr>
        <w:t>’</w:t>
      </w:r>
      <w:r w:rsidRPr="00EF0E92">
        <w:rPr>
          <w:lang w:val="fr-FR"/>
        </w:rPr>
        <w:t>a été prise afin de rétablir le lien entre le requérant et son fils</w:t>
      </w:r>
      <w:r w:rsidRPr="00EF0E92">
        <w:rPr>
          <w:rFonts w:eastAsiaTheme="minorHAnsi"/>
          <w:lang w:val="fr-FR"/>
        </w:rPr>
        <w:t>. Elle estime qu</w:t>
      </w:r>
      <w:r w:rsidR="00EF0E92" w:rsidRPr="00EF0E92">
        <w:rPr>
          <w:rFonts w:eastAsiaTheme="minorHAnsi"/>
          <w:lang w:val="fr-FR"/>
        </w:rPr>
        <w:t>’</w:t>
      </w:r>
      <w:r w:rsidRPr="00EF0E92">
        <w:rPr>
          <w:rFonts w:eastAsiaTheme="minorHAnsi"/>
          <w:lang w:val="fr-FR"/>
        </w:rPr>
        <w:t>une réaction rapide face à cette situation aurait été nécessaire eu égard à l</w:t>
      </w:r>
      <w:r w:rsidR="00EF0E92" w:rsidRPr="00EF0E92">
        <w:rPr>
          <w:rFonts w:eastAsiaTheme="minorHAnsi"/>
          <w:lang w:val="fr-FR"/>
        </w:rPr>
        <w:t>’</w:t>
      </w:r>
      <w:r w:rsidRPr="00EF0E92">
        <w:rPr>
          <w:rFonts w:eastAsiaTheme="minorHAnsi"/>
          <w:lang w:val="fr-FR"/>
        </w:rPr>
        <w:t>incidence, dans ce genre d</w:t>
      </w:r>
      <w:r w:rsidR="00EF0E92" w:rsidRPr="00EF0E92">
        <w:rPr>
          <w:rFonts w:eastAsiaTheme="minorHAnsi"/>
          <w:lang w:val="fr-FR"/>
        </w:rPr>
        <w:t>’</w:t>
      </w:r>
      <w:r w:rsidRPr="00EF0E92">
        <w:rPr>
          <w:rFonts w:eastAsiaTheme="minorHAnsi"/>
          <w:lang w:val="fr-FR"/>
        </w:rPr>
        <w:t>affaires, de l</w:t>
      </w:r>
      <w:r w:rsidR="00EF0E92" w:rsidRPr="00EF0E92">
        <w:rPr>
          <w:rFonts w:eastAsiaTheme="minorHAnsi"/>
          <w:lang w:val="fr-FR"/>
        </w:rPr>
        <w:t>’</w:t>
      </w:r>
      <w:r w:rsidRPr="00EF0E92">
        <w:rPr>
          <w:rFonts w:eastAsiaTheme="minorHAnsi"/>
          <w:lang w:val="fr-FR"/>
        </w:rPr>
        <w:t>écoulement du temps, qui peut entraver la possibilité pour le parent concerné de renouer avec l</w:t>
      </w:r>
      <w:r w:rsidR="00EF0E92" w:rsidRPr="00EF0E92">
        <w:rPr>
          <w:rFonts w:eastAsiaTheme="minorHAnsi"/>
          <w:lang w:val="fr-FR"/>
        </w:rPr>
        <w:t>’</w:t>
      </w:r>
      <w:r w:rsidRPr="00EF0E92">
        <w:rPr>
          <w:rFonts w:eastAsiaTheme="minorHAnsi"/>
          <w:lang w:val="fr-FR"/>
        </w:rPr>
        <w:t>enfant.</w:t>
      </w:r>
    </w:p>
    <w:p w:rsidR="00737889" w:rsidRPr="00EF0E92" w:rsidRDefault="00737889" w:rsidP="00EF0E92">
      <w:pPr>
        <w:pStyle w:val="ECHRPara"/>
        <w:rPr>
          <w:lang w:val="fr-FR"/>
        </w:rPr>
      </w:pP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56</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xml:space="preserve">.  La Cour constate que, par la suite, en 2015, le tribunal chargé de se prononcer sur le divorce, </w:t>
      </w:r>
      <w:r w:rsidRPr="00EF0E92">
        <w:rPr>
          <w:lang w:val="fr-FR"/>
        </w:rPr>
        <w:t>après avoir observé que l</w:t>
      </w:r>
      <w:r w:rsidR="00EF0E92" w:rsidRPr="00EF0E92">
        <w:rPr>
          <w:lang w:val="fr-FR"/>
        </w:rPr>
        <w:t>’</w:t>
      </w:r>
      <w:r w:rsidRPr="00EF0E92">
        <w:rPr>
          <w:lang w:val="fr-FR"/>
        </w:rPr>
        <w:t>enfant se trouvait dans une situation très difficile puisqu</w:t>
      </w:r>
      <w:r w:rsidR="00EF0E92" w:rsidRPr="00EF0E92">
        <w:rPr>
          <w:lang w:val="fr-FR"/>
        </w:rPr>
        <w:t>’</w:t>
      </w:r>
      <w:r w:rsidRPr="00EF0E92">
        <w:rPr>
          <w:lang w:val="fr-FR"/>
        </w:rPr>
        <w:t>il ne voyait plus son père depuis plusieurs années, a demandé au service de neuropsychiatrie de Acireale de rendre un rapport sur l</w:t>
      </w:r>
      <w:r w:rsidR="00EF0E92" w:rsidRPr="00EF0E92">
        <w:rPr>
          <w:lang w:val="fr-FR"/>
        </w:rPr>
        <w:t>’</w:t>
      </w:r>
      <w:r w:rsidRPr="00EF0E92">
        <w:rPr>
          <w:lang w:val="fr-FR"/>
        </w:rPr>
        <w:t>exécution de la décision du tribunal du 26 octobre 2011. Elle relève que, de plus, l</w:t>
      </w:r>
      <w:r w:rsidR="00EF0E92" w:rsidRPr="00EF0E92">
        <w:rPr>
          <w:lang w:val="fr-FR"/>
        </w:rPr>
        <w:t>’</w:t>
      </w:r>
      <w:r w:rsidRPr="00EF0E92">
        <w:rPr>
          <w:lang w:val="fr-FR"/>
        </w:rPr>
        <w:t>expert nommé par le tribunal a suggéré une reprise des rencontres entre le requérant et l</w:t>
      </w:r>
      <w:r w:rsidR="00EF0E92" w:rsidRPr="00EF0E92">
        <w:rPr>
          <w:lang w:val="fr-FR"/>
        </w:rPr>
        <w:t>’</w:t>
      </w:r>
      <w:r w:rsidRPr="00EF0E92">
        <w:rPr>
          <w:lang w:val="fr-FR"/>
        </w:rPr>
        <w:t>enfant et la poursuite du parcours psychologique de l</w:t>
      </w:r>
      <w:r w:rsidR="00EF0E92" w:rsidRPr="00EF0E92">
        <w:rPr>
          <w:lang w:val="fr-FR"/>
        </w:rPr>
        <w:t>’</w:t>
      </w:r>
      <w:r w:rsidRPr="00EF0E92">
        <w:rPr>
          <w:lang w:val="fr-FR"/>
        </w:rPr>
        <w:t>enfant.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57</w:t>
      </w:r>
      <w:r w:rsidRPr="00EF0E92">
        <w:rPr>
          <w:lang w:val="fr-FR"/>
        </w:rPr>
        <w:fldChar w:fldCharType="end"/>
      </w:r>
      <w:r w:rsidRPr="00EF0E92">
        <w:rPr>
          <w:lang w:val="fr-FR"/>
        </w:rPr>
        <w:t>.  La Cour note également que, en 2016, afin d</w:t>
      </w:r>
      <w:r w:rsidR="00EF0E92" w:rsidRPr="00EF0E92">
        <w:rPr>
          <w:lang w:val="fr-FR"/>
        </w:rPr>
        <w:t>’</w:t>
      </w:r>
      <w:r w:rsidRPr="00EF0E92">
        <w:rPr>
          <w:lang w:val="fr-FR"/>
        </w:rPr>
        <w:t>empêcher toute rencontre entre le requérant et son fils, T.L.G. a saisi à nouveau le tribunal afin de suspendre les rencontres organisées par le tribunal civil de Catane en raison de nouveaux soupçons d</w:t>
      </w:r>
      <w:r w:rsidR="00EF0E92" w:rsidRPr="00EF0E92">
        <w:rPr>
          <w:lang w:val="fr-FR"/>
        </w:rPr>
        <w:t>’</w:t>
      </w:r>
      <w:r w:rsidRPr="00EF0E92">
        <w:rPr>
          <w:lang w:val="fr-FR"/>
        </w:rPr>
        <w:t>attouchements sexuels. Elle constate que, après avoir ordonné aux services sociaux d</w:t>
      </w:r>
      <w:r w:rsidR="00EF0E92" w:rsidRPr="00EF0E92">
        <w:rPr>
          <w:lang w:val="fr-FR"/>
        </w:rPr>
        <w:t>’</w:t>
      </w:r>
      <w:r w:rsidRPr="00EF0E92">
        <w:rPr>
          <w:lang w:val="fr-FR"/>
        </w:rPr>
        <w:t>enquêter sur la situation de la famille, le tribunal s</w:t>
      </w:r>
      <w:r w:rsidR="00EF0E92" w:rsidRPr="00EF0E92">
        <w:rPr>
          <w:lang w:val="fr-FR"/>
        </w:rPr>
        <w:t>’</w:t>
      </w:r>
      <w:r w:rsidRPr="00EF0E92">
        <w:rPr>
          <w:lang w:val="fr-FR"/>
        </w:rPr>
        <w:t>est déclaré incompétent.</w:t>
      </w:r>
    </w:p>
    <w:bookmarkStart w:id="7" w:name="para53"/>
    <w:p w:rsidR="00737889" w:rsidRPr="00EF0E92" w:rsidRDefault="00737889" w:rsidP="00EF0E92">
      <w:pPr>
        <w:pStyle w:val="ECHRPara"/>
        <w:rPr>
          <w:rFonts w:ascii="Times New Roman" w:eastAsiaTheme="minorHAnsi" w:hAnsi="Times New Roman" w:cs="Times New Roman"/>
          <w:color w:val="000000"/>
          <w:szCs w:val="24"/>
          <w:lang w:val="fr-FR"/>
        </w:rPr>
      </w:pP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58</w:t>
      </w:r>
      <w:r w:rsidRPr="00EF0E92">
        <w:rPr>
          <w:rFonts w:ascii="Times New Roman" w:eastAsiaTheme="minorHAnsi" w:hAnsi="Times New Roman" w:cs="Times New Roman"/>
          <w:color w:val="000000"/>
          <w:szCs w:val="24"/>
          <w:lang w:val="fr-FR"/>
        </w:rPr>
        <w:fldChar w:fldCharType="end"/>
      </w:r>
      <w:bookmarkEnd w:id="7"/>
      <w:r w:rsidRPr="00EF0E92">
        <w:rPr>
          <w:rFonts w:ascii="Times New Roman" w:eastAsiaTheme="minorHAnsi" w:hAnsi="Times New Roman" w:cs="Times New Roman"/>
          <w:color w:val="000000"/>
          <w:szCs w:val="24"/>
          <w:lang w:val="fr-FR"/>
        </w:rPr>
        <w:t>.  La Cour observe que la situation perdure et que, à ce jour, le requérant ne peut toujours pas avoir de contact avec son fils.</w:t>
      </w:r>
    </w:p>
    <w:p w:rsidR="00737889" w:rsidRPr="00EF0E92" w:rsidRDefault="00737889" w:rsidP="00EF0E92">
      <w:pPr>
        <w:pStyle w:val="ECHRPara"/>
        <w:rPr>
          <w:rFonts w:ascii="Times New Roman" w:eastAsiaTheme="minorHAnsi" w:hAnsi="Times New Roman" w:cs="Times New Roman"/>
          <w:color w:val="000000"/>
          <w:szCs w:val="24"/>
          <w:lang w:val="fr-FR"/>
        </w:rPr>
      </w:pP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59</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w:t>
      </w:r>
      <w:r w:rsidR="005427F8" w:rsidRPr="00EF0E92">
        <w:rPr>
          <w:rFonts w:ascii="Times New Roman" w:eastAsiaTheme="minorHAnsi" w:hAnsi="Times New Roman" w:cs="Times New Roman"/>
          <w:color w:val="000000"/>
          <w:szCs w:val="24"/>
          <w:lang w:val="fr-FR"/>
        </w:rPr>
        <w:t xml:space="preserve">Certes, </w:t>
      </w:r>
      <w:r w:rsidRPr="00EF0E92">
        <w:rPr>
          <w:rFonts w:ascii="Times New Roman" w:eastAsiaTheme="minorHAnsi" w:hAnsi="Times New Roman" w:cs="Times New Roman"/>
          <w:color w:val="000000"/>
          <w:szCs w:val="24"/>
          <w:lang w:val="fr-FR"/>
        </w:rPr>
        <w:t>il n</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 xml:space="preserve">appartient pas </w:t>
      </w:r>
      <w:r w:rsidR="005427F8" w:rsidRPr="00EF0E92">
        <w:rPr>
          <w:rFonts w:ascii="Times New Roman" w:eastAsiaTheme="minorHAnsi" w:hAnsi="Times New Roman" w:cs="Times New Roman"/>
          <w:color w:val="000000"/>
          <w:szCs w:val="24"/>
          <w:lang w:val="fr-FR"/>
        </w:rPr>
        <w:t xml:space="preserve">à la Cour </w:t>
      </w:r>
      <w:r w:rsidRPr="00EF0E92">
        <w:rPr>
          <w:rFonts w:ascii="Times New Roman" w:eastAsiaTheme="minorHAnsi" w:hAnsi="Times New Roman" w:cs="Times New Roman"/>
          <w:color w:val="000000"/>
          <w:szCs w:val="24"/>
          <w:lang w:val="fr-FR"/>
        </w:rPr>
        <w:t>de substituer son appréciation à celle des autorités nationales compétentes quant aux mesures qui auraient dû être prises, car ces autorités sont en principe mieux placées pour procéder à une telle évaluation, en particulier parce qu</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elles sont en contact direct avec le contexte de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affaire et les parties impliquées (</w:t>
      </w:r>
      <w:r w:rsidRPr="00EF0E92">
        <w:rPr>
          <w:rFonts w:ascii="Times New Roman" w:eastAsiaTheme="minorHAnsi" w:hAnsi="Times New Roman" w:cs="Times New Roman"/>
          <w:i/>
          <w:iCs/>
          <w:color w:val="000000"/>
          <w:szCs w:val="24"/>
          <w:lang w:val="fr-FR"/>
        </w:rPr>
        <w:t>Reigado Ramos</w:t>
      </w:r>
      <w:r w:rsidRPr="00EF0E92">
        <w:rPr>
          <w:rFonts w:ascii="Times New Roman" w:eastAsiaTheme="minorHAnsi" w:hAnsi="Times New Roman" w:cs="Times New Roman"/>
          <w:color w:val="000000"/>
          <w:szCs w:val="24"/>
          <w:lang w:val="fr-FR"/>
        </w:rPr>
        <w:t>, précité, §</w:t>
      </w:r>
      <w:r w:rsidR="008F41EB" w:rsidRPr="00EF0E92">
        <w:rPr>
          <w:rFonts w:ascii="Times New Roman" w:eastAsiaTheme="minorHAnsi" w:hAnsi="Times New Roman" w:cs="Times New Roman"/>
          <w:color w:val="000000"/>
          <w:szCs w:val="24"/>
          <w:lang w:val="fr-FR"/>
        </w:rPr>
        <w:t> </w:t>
      </w:r>
      <w:r w:rsidRPr="00EF0E92">
        <w:rPr>
          <w:rFonts w:ascii="Times New Roman" w:eastAsiaTheme="minorHAnsi" w:hAnsi="Times New Roman" w:cs="Times New Roman"/>
          <w:color w:val="000000"/>
          <w:szCs w:val="24"/>
          <w:lang w:val="fr-FR"/>
        </w:rPr>
        <w:t>53). Pour autant, elle ne peut en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espèce ignorer les faits précédemment exposés (paragraphes 51-</w:t>
      </w: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REF para53 \h  \* MERGEFORMAT </w:instrText>
      </w:r>
      <w:r w:rsidRPr="00EF0E92">
        <w:rPr>
          <w:rFonts w:ascii="Times New Roman" w:eastAsiaTheme="minorHAnsi" w:hAnsi="Times New Roman" w:cs="Times New Roman"/>
          <w:color w:val="000000"/>
          <w:szCs w:val="24"/>
          <w:lang w:val="fr-FR"/>
        </w:rPr>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58</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xml:space="preserve"> ci-dessus). Elle note en effet que le requérant a essayé d</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établir des contacts avec son fils depuis 2007, et que, en dépit des décisions du tribunal et de la cour d</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 xml:space="preserve">appel lui reconnaissant un droit de </w:t>
      </w:r>
      <w:r w:rsidRPr="00EF0E92">
        <w:rPr>
          <w:rFonts w:ascii="Times New Roman" w:eastAsiaTheme="minorHAnsi" w:hAnsi="Times New Roman" w:cs="Times New Roman"/>
          <w:color w:val="000000"/>
          <w:szCs w:val="24"/>
          <w:lang w:val="fr-FR"/>
        </w:rPr>
        <w:lastRenderedPageBreak/>
        <w:t>visite, il n</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a pas pu exercer ce droit en raison de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opposition de la mère de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enfant et des plaintes pénales pour violences sexuelles déposées par cette dernière.</w:t>
      </w:r>
    </w:p>
    <w:p w:rsidR="00737889" w:rsidRPr="00EF0E92" w:rsidRDefault="00737889" w:rsidP="00EF0E92">
      <w:pPr>
        <w:pStyle w:val="ECHRPara"/>
        <w:rPr>
          <w:lang w:val="fr-FR"/>
        </w:rPr>
      </w:pPr>
      <w:r w:rsidRPr="00EF0E92">
        <w:fldChar w:fldCharType="begin"/>
      </w:r>
      <w:r w:rsidRPr="00EF0E92">
        <w:rPr>
          <w:lang w:val="fr-FR"/>
        </w:rPr>
        <w:instrText xml:space="preserve"> SEQ level0 \*arabic </w:instrText>
      </w:r>
      <w:r w:rsidRPr="00EF0E92">
        <w:fldChar w:fldCharType="separate"/>
      </w:r>
      <w:r w:rsidR="00EF0E92" w:rsidRPr="00EF0E92">
        <w:rPr>
          <w:noProof/>
          <w:lang w:val="fr-FR"/>
        </w:rPr>
        <w:t>60</w:t>
      </w:r>
      <w:r w:rsidRPr="00EF0E92">
        <w:fldChar w:fldCharType="end"/>
      </w:r>
      <w:r w:rsidRPr="00EF0E92">
        <w:rPr>
          <w:lang w:val="fr-FR"/>
        </w:rPr>
        <w:t>.  La Cour reconnaît que les autorités faisaient en l</w:t>
      </w:r>
      <w:r w:rsidR="00EF0E92" w:rsidRPr="00EF0E92">
        <w:rPr>
          <w:lang w:val="fr-FR"/>
        </w:rPr>
        <w:t>’</w:t>
      </w:r>
      <w:r w:rsidRPr="00EF0E92">
        <w:rPr>
          <w:lang w:val="fr-FR"/>
        </w:rPr>
        <w:t>espèce face à une situation très difficile en raison, notamment, des tensions existant entre le requérant et son ex-épouse. Elle estime cependant qu</w:t>
      </w:r>
      <w:r w:rsidR="00EF0E92" w:rsidRPr="00EF0E92">
        <w:rPr>
          <w:lang w:val="fr-FR"/>
        </w:rPr>
        <w:t>’</w:t>
      </w:r>
      <w:r w:rsidRPr="00EF0E92">
        <w:rPr>
          <w:lang w:val="fr-FR"/>
        </w:rPr>
        <w:t xml:space="preserve">un manque de coopération entre des parents séparés ne peut dispenser les autorités compétentes de mettre en œuvre tous les moyens susceptibles de permettre le maintien du lien familial (voir </w:t>
      </w:r>
      <w:r w:rsidR="00AD5330" w:rsidRPr="00EF0E92">
        <w:rPr>
          <w:i/>
          <w:lang w:val="fr-FR"/>
        </w:rPr>
        <w:t>Lombardo c. Italie</w:t>
      </w:r>
      <w:r w:rsidR="00AD5330" w:rsidRPr="00EF0E92">
        <w:rPr>
          <w:lang w:val="fr-FR"/>
        </w:rPr>
        <w:t>, n</w:t>
      </w:r>
      <w:r w:rsidR="008F41EB" w:rsidRPr="00EF0E92">
        <w:rPr>
          <w:bCs/>
          <w:szCs w:val="24"/>
          <w:vertAlign w:val="superscript"/>
          <w:lang w:val="fr-FR"/>
        </w:rPr>
        <w:t>o</w:t>
      </w:r>
      <w:r w:rsidR="00AD5330" w:rsidRPr="00EF0E92">
        <w:rPr>
          <w:lang w:val="fr-FR"/>
        </w:rPr>
        <w:t xml:space="preserve"> 25704/11, §</w:t>
      </w:r>
      <w:r w:rsidR="008F41EB" w:rsidRPr="00EF0E92">
        <w:rPr>
          <w:lang w:val="fr-FR"/>
        </w:rPr>
        <w:t> </w:t>
      </w:r>
      <w:r w:rsidR="00AD5330" w:rsidRPr="00EF0E92">
        <w:rPr>
          <w:lang w:val="fr-FR"/>
        </w:rPr>
        <w:t>91, 29</w:t>
      </w:r>
      <w:r w:rsidR="008F41EB" w:rsidRPr="00EF0E92">
        <w:rPr>
          <w:lang w:val="fr-FR"/>
        </w:rPr>
        <w:t> </w:t>
      </w:r>
      <w:r w:rsidR="00AD5330" w:rsidRPr="00EF0E92">
        <w:rPr>
          <w:lang w:val="fr-FR"/>
        </w:rPr>
        <w:t xml:space="preserve">janvier 2013 ; </w:t>
      </w:r>
      <w:r w:rsidRPr="00EF0E92">
        <w:rPr>
          <w:i/>
          <w:lang w:val="fr-FR"/>
        </w:rPr>
        <w:t>Fourkiotis c. Grèce</w:t>
      </w:r>
      <w:r w:rsidRPr="00EF0E92">
        <w:rPr>
          <w:lang w:val="fr-FR"/>
        </w:rPr>
        <w:t xml:space="preserve"> n</w:t>
      </w:r>
      <w:r w:rsidR="008F41EB" w:rsidRPr="00EF0E92">
        <w:rPr>
          <w:bCs/>
          <w:szCs w:val="24"/>
          <w:vertAlign w:val="superscript"/>
          <w:lang w:val="fr-FR"/>
        </w:rPr>
        <w:t>o</w:t>
      </w:r>
      <w:r w:rsidR="00AD5330" w:rsidRPr="00EF0E92">
        <w:rPr>
          <w:lang w:val="fr-FR"/>
        </w:rPr>
        <w:t> 74758/11, § 72, 16 juin 2016,</w:t>
      </w:r>
      <w:r w:rsidRPr="00EF0E92">
        <w:rPr>
          <w:lang w:val="fr-FR"/>
        </w:rPr>
        <w:t xml:space="preserve"> et, mutatis mutandis, </w:t>
      </w:r>
      <w:r w:rsidRPr="00EF0E92">
        <w:rPr>
          <w:i/>
          <w:lang w:val="fr-FR"/>
        </w:rPr>
        <w:t>Reigado Ramos</w:t>
      </w:r>
      <w:r w:rsidRPr="00EF0E92">
        <w:rPr>
          <w:lang w:val="fr-FR"/>
        </w:rPr>
        <w:t xml:space="preserve">, précité, § 55, et </w:t>
      </w:r>
      <w:bookmarkStart w:id="8" w:name="File389"/>
      <w:r w:rsidR="00AD5330" w:rsidRPr="00EF0E92">
        <w:rPr>
          <w:i/>
          <w:lang w:val="fr-FR"/>
        </w:rPr>
        <w:t>Za</w:t>
      </w:r>
      <w:bookmarkEnd w:id="8"/>
      <w:r w:rsidR="00AD5330" w:rsidRPr="00EF0E92">
        <w:rPr>
          <w:i/>
          <w:lang w:val="fr-FR"/>
        </w:rPr>
        <w:t>vřel c. République tchèque</w:t>
      </w:r>
      <w:r w:rsidR="00AD5330" w:rsidRPr="00EF0E92">
        <w:rPr>
          <w:lang w:val="fr-FR"/>
        </w:rPr>
        <w:t>, n</w:t>
      </w:r>
      <w:r w:rsidR="008F41EB" w:rsidRPr="00EF0E92">
        <w:rPr>
          <w:bCs/>
          <w:szCs w:val="24"/>
          <w:vertAlign w:val="superscript"/>
          <w:lang w:val="fr-FR"/>
        </w:rPr>
        <w:t>o</w:t>
      </w:r>
      <w:r w:rsidR="00AD5330" w:rsidRPr="00EF0E92">
        <w:rPr>
          <w:lang w:val="fr-FR"/>
        </w:rPr>
        <w:t xml:space="preserve"> 14044/05, § 52, 18 janvier 2007</w:t>
      </w:r>
      <w:r w:rsidRPr="00EF0E92">
        <w:rPr>
          <w:lang w:val="fr-FR"/>
        </w:rPr>
        <w:t>).</w:t>
      </w:r>
    </w:p>
    <w:p w:rsidR="00737889" w:rsidRPr="00EF0E92" w:rsidRDefault="00737889" w:rsidP="00EF0E92">
      <w:pPr>
        <w:pStyle w:val="ECHRPara"/>
        <w:rPr>
          <w:i/>
          <w:lang w:val="fr-FR"/>
        </w:rPr>
      </w:pPr>
      <w:r w:rsidRPr="00EF0E92">
        <w:rPr>
          <w:rFonts w:ascii="Times New Roman" w:eastAsiaTheme="minorHAnsi" w:hAnsi="Times New Roman" w:cs="Times New Roman"/>
          <w:color w:val="000000"/>
          <w:szCs w:val="24"/>
          <w:lang w:val="fr-FR"/>
        </w:rPr>
        <w:fldChar w:fldCharType="begin"/>
      </w:r>
      <w:r w:rsidRPr="00EF0E92">
        <w:rPr>
          <w:rFonts w:ascii="Times New Roman" w:eastAsiaTheme="minorHAnsi" w:hAnsi="Times New Roman" w:cs="Times New Roman"/>
          <w:color w:val="000000"/>
          <w:szCs w:val="24"/>
          <w:lang w:val="fr-FR"/>
        </w:rPr>
        <w:instrText xml:space="preserve"> SEQ level0 \*arabic </w:instrText>
      </w:r>
      <w:r w:rsidRPr="00EF0E92">
        <w:rPr>
          <w:rFonts w:ascii="Times New Roman" w:eastAsiaTheme="minorHAnsi" w:hAnsi="Times New Roman" w:cs="Times New Roman"/>
          <w:color w:val="000000"/>
          <w:szCs w:val="24"/>
          <w:lang w:val="fr-FR"/>
        </w:rPr>
        <w:fldChar w:fldCharType="separate"/>
      </w:r>
      <w:r w:rsidR="00EF0E92" w:rsidRPr="00EF0E92">
        <w:rPr>
          <w:rFonts w:ascii="Times New Roman" w:eastAsiaTheme="minorHAnsi" w:hAnsi="Times New Roman" w:cs="Times New Roman"/>
          <w:noProof/>
          <w:color w:val="000000"/>
          <w:szCs w:val="24"/>
          <w:lang w:val="fr-FR"/>
        </w:rPr>
        <w:t>61</w:t>
      </w:r>
      <w:r w:rsidRPr="00EF0E92">
        <w:rPr>
          <w:rFonts w:ascii="Times New Roman" w:eastAsiaTheme="minorHAnsi" w:hAnsi="Times New Roman" w:cs="Times New Roman"/>
          <w:color w:val="000000"/>
          <w:szCs w:val="24"/>
          <w:lang w:val="fr-FR"/>
        </w:rPr>
        <w:fldChar w:fldCharType="end"/>
      </w:r>
      <w:r w:rsidRPr="00EF0E92">
        <w:rPr>
          <w:rFonts w:ascii="Times New Roman" w:eastAsiaTheme="minorHAnsi" w:hAnsi="Times New Roman" w:cs="Times New Roman"/>
          <w:color w:val="000000"/>
          <w:szCs w:val="24"/>
          <w:lang w:val="fr-FR"/>
        </w:rPr>
        <w:t>.  </w:t>
      </w:r>
      <w:r w:rsidR="005427F8" w:rsidRPr="00EF0E92">
        <w:rPr>
          <w:rFonts w:ascii="Times New Roman" w:eastAsiaTheme="minorHAnsi" w:hAnsi="Times New Roman" w:cs="Times New Roman"/>
          <w:color w:val="000000"/>
          <w:szCs w:val="24"/>
          <w:lang w:val="fr-FR"/>
        </w:rPr>
        <w:t xml:space="preserve">La Cour </w:t>
      </w:r>
      <w:r w:rsidRPr="00EF0E92">
        <w:rPr>
          <w:rFonts w:ascii="Times New Roman" w:eastAsiaTheme="minorHAnsi" w:hAnsi="Times New Roman" w:cs="Times New Roman"/>
          <w:color w:val="000000"/>
          <w:szCs w:val="24"/>
          <w:lang w:val="fr-FR"/>
        </w:rPr>
        <w:t>considère que les autorités n</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ont pas fait preuve de la diligence qui s</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imposait en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espèce et qu</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elles sont restées en deçà de ce qu</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on pouvait raisonnablement attendre d</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elles. Elle estime en particulier que les juridictions internes n</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ont pas pris les mesures appropriées pour créer les conditions nécessaires à la pleine réalisation du droit de visite du père de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 xml:space="preserve">enfant (§ 81, </w:t>
      </w:r>
      <w:r w:rsidRPr="00EF0E92">
        <w:rPr>
          <w:rFonts w:ascii="Times New Roman" w:eastAsiaTheme="minorHAnsi" w:hAnsi="Times New Roman" w:cs="Times New Roman"/>
          <w:i/>
          <w:iCs/>
          <w:color w:val="000000"/>
          <w:szCs w:val="24"/>
          <w:lang w:val="fr-FR"/>
        </w:rPr>
        <w:t>Macready c. République tchèque</w:t>
      </w:r>
      <w:r w:rsidRPr="00EF0E92">
        <w:rPr>
          <w:rFonts w:ascii="Times New Roman" w:eastAsiaTheme="minorHAnsi" w:hAnsi="Times New Roman" w:cs="Times New Roman"/>
          <w:color w:val="000000"/>
          <w:szCs w:val="24"/>
          <w:lang w:val="fr-FR"/>
        </w:rPr>
        <w:t>, n</w:t>
      </w:r>
      <w:r w:rsidRPr="00EF0E92">
        <w:rPr>
          <w:rFonts w:ascii="Times New Roman" w:eastAsiaTheme="minorHAnsi" w:hAnsi="Times New Roman" w:cs="Times New Roman"/>
          <w:color w:val="000000"/>
          <w:szCs w:val="24"/>
          <w:vertAlign w:val="superscript"/>
          <w:lang w:val="fr-FR"/>
        </w:rPr>
        <w:t>os</w:t>
      </w:r>
      <w:r w:rsidR="004118D3" w:rsidRPr="00EF0E92">
        <w:rPr>
          <w:rFonts w:ascii="Times New Roman" w:eastAsiaTheme="minorHAnsi" w:hAnsi="Times New Roman" w:cs="Times New Roman"/>
          <w:color w:val="000000"/>
          <w:szCs w:val="24"/>
          <w:vertAlign w:val="superscript"/>
          <w:lang w:val="fr-FR"/>
        </w:rPr>
        <w:t> </w:t>
      </w:r>
      <w:r w:rsidRPr="00EF0E92">
        <w:rPr>
          <w:rFonts w:ascii="Times New Roman" w:eastAsiaTheme="minorHAnsi" w:hAnsi="Times New Roman" w:cs="Times New Roman"/>
          <w:color w:val="000000"/>
          <w:szCs w:val="24"/>
          <w:lang w:val="fr-FR"/>
        </w:rPr>
        <w:t xml:space="preserve">4824/06 et 15512/08, § 66, 22 avril 2010, et </w:t>
      </w:r>
      <w:r w:rsidR="004D5089" w:rsidRPr="00EF0E92">
        <w:rPr>
          <w:i/>
          <w:lang w:val="fr-FR"/>
        </w:rPr>
        <w:t>Piazzi c. Italie</w:t>
      </w:r>
      <w:r w:rsidR="004D5089" w:rsidRPr="00EF0E92">
        <w:rPr>
          <w:lang w:val="fr-FR"/>
        </w:rPr>
        <w:t>, n</w:t>
      </w:r>
      <w:r w:rsidR="004D5089" w:rsidRPr="00EF0E92">
        <w:rPr>
          <w:vertAlign w:val="superscript"/>
          <w:lang w:val="fr-FR"/>
        </w:rPr>
        <w:t>o</w:t>
      </w:r>
      <w:r w:rsidR="004D5089" w:rsidRPr="00EF0E92">
        <w:rPr>
          <w:lang w:val="fr-FR"/>
        </w:rPr>
        <w:t xml:space="preserve"> 36168/09</w:t>
      </w:r>
      <w:r w:rsidR="004D5089" w:rsidRPr="00EF0E92">
        <w:rPr>
          <w:snapToGrid w:val="0"/>
          <w:szCs w:val="24"/>
          <w:lang w:val="fr-FR"/>
        </w:rPr>
        <w:t>, §</w:t>
      </w:r>
      <w:r w:rsidR="004118D3" w:rsidRPr="00EF0E92">
        <w:rPr>
          <w:snapToGrid w:val="0"/>
          <w:szCs w:val="24"/>
          <w:lang w:val="fr-FR"/>
        </w:rPr>
        <w:t> </w:t>
      </w:r>
      <w:r w:rsidR="004D5089" w:rsidRPr="00EF0E92">
        <w:rPr>
          <w:snapToGrid w:val="0"/>
          <w:szCs w:val="24"/>
          <w:lang w:val="fr-FR"/>
        </w:rPr>
        <w:t>61</w:t>
      </w:r>
      <w:r w:rsidR="00743E71" w:rsidRPr="00EF0E92">
        <w:rPr>
          <w:snapToGrid w:val="0"/>
          <w:szCs w:val="24"/>
          <w:lang w:val="fr-FR"/>
        </w:rPr>
        <w:t>, 2 </w:t>
      </w:r>
      <w:r w:rsidR="004D5089" w:rsidRPr="00EF0E92">
        <w:rPr>
          <w:szCs w:val="24"/>
          <w:lang w:val="fr-FR"/>
        </w:rPr>
        <w:t>novembre</w:t>
      </w:r>
      <w:r w:rsidR="004D5089" w:rsidRPr="00EF0E92">
        <w:rPr>
          <w:snapToGrid w:val="0"/>
          <w:szCs w:val="24"/>
          <w:lang w:val="fr-FR"/>
        </w:rPr>
        <w:t xml:space="preserve"> 2010</w:t>
      </w:r>
      <w:r w:rsidR="00AD5330" w:rsidRPr="00EF0E92">
        <w:rPr>
          <w:snapToGrid w:val="0"/>
          <w:szCs w:val="24"/>
          <w:lang w:val="fr-FR"/>
        </w:rPr>
        <w:t xml:space="preserve"> et</w:t>
      </w:r>
      <w:r w:rsidR="00AD5330" w:rsidRPr="00EF0E92">
        <w:rPr>
          <w:rFonts w:ascii="Times New Roman" w:eastAsiaTheme="minorHAnsi" w:hAnsi="Times New Roman" w:cs="Times New Roman"/>
          <w:i/>
          <w:iCs/>
          <w:color w:val="000000"/>
          <w:szCs w:val="24"/>
          <w:lang w:val="fr-FR"/>
        </w:rPr>
        <w:t xml:space="preserve"> </w:t>
      </w:r>
      <w:r w:rsidR="00AD5330" w:rsidRPr="00EF0E92">
        <w:rPr>
          <w:rFonts w:eastAsiaTheme="minorHAnsi"/>
          <w:i/>
          <w:lang w:val="fr-FR"/>
        </w:rPr>
        <w:t>Bondavalli c. Italie</w:t>
      </w:r>
      <w:r w:rsidR="00AD5330" w:rsidRPr="00EF0E92">
        <w:rPr>
          <w:rFonts w:eastAsiaTheme="minorHAnsi"/>
          <w:lang w:val="fr-FR"/>
        </w:rPr>
        <w:t xml:space="preserve">, </w:t>
      </w:r>
      <w:r w:rsidR="00AD5330" w:rsidRPr="00EF0E92">
        <w:rPr>
          <w:lang w:val="fr-FR"/>
        </w:rPr>
        <w:t>n</w:t>
      </w:r>
      <w:r w:rsidR="00AD5330" w:rsidRPr="00EF0E92">
        <w:rPr>
          <w:vertAlign w:val="superscript"/>
          <w:lang w:val="fr-FR"/>
        </w:rPr>
        <w:t>o</w:t>
      </w:r>
      <w:r w:rsidR="00AD5330" w:rsidRPr="00EF0E92">
        <w:rPr>
          <w:rFonts w:eastAsiaTheme="minorHAnsi"/>
          <w:lang w:val="fr-FR"/>
        </w:rPr>
        <w:t xml:space="preserve"> 35532/12, § 90, 17 novembre 2015</w:t>
      </w:r>
      <w:r w:rsidRPr="00EF0E92">
        <w:rPr>
          <w:rFonts w:ascii="Times New Roman" w:eastAsiaTheme="minorHAnsi" w:hAnsi="Times New Roman" w:cs="Times New Roman"/>
          <w:color w:val="000000"/>
          <w:szCs w:val="24"/>
          <w:lang w:val="fr-FR"/>
        </w:rPr>
        <w:t>) et qu</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elles n</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ont pas pris, dès le début de la séparation, de mesures utiles visant à l</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instauration de contacts effectifs compte tenu de la distance séparant les résidences du requérant et de son fils. Elle constate que, après une première plainte pénale classée dans un délai d</w:t>
      </w:r>
      <w:r w:rsidR="00EF0E92" w:rsidRPr="00EF0E92">
        <w:rPr>
          <w:rFonts w:ascii="Times New Roman" w:eastAsiaTheme="minorHAnsi" w:hAnsi="Times New Roman" w:cs="Times New Roman"/>
          <w:color w:val="000000"/>
          <w:szCs w:val="24"/>
          <w:lang w:val="fr-FR"/>
        </w:rPr>
        <w:t>’</w:t>
      </w:r>
      <w:r w:rsidRPr="00EF0E92">
        <w:rPr>
          <w:rFonts w:ascii="Times New Roman" w:eastAsiaTheme="minorHAnsi" w:hAnsi="Times New Roman" w:cs="Times New Roman"/>
          <w:color w:val="000000"/>
          <w:szCs w:val="24"/>
          <w:lang w:val="fr-FR"/>
        </w:rPr>
        <w:t>un an par le parquet de Trente, il a fallu trois ans au parquet de Catane pour classer la deuxième plainte.</w:t>
      </w:r>
    </w:p>
    <w:p w:rsidR="00A964EC" w:rsidRPr="00EF0E92" w:rsidRDefault="00A964EC" w:rsidP="00EF0E92">
      <w:pPr>
        <w:pStyle w:val="ECHRPara"/>
        <w:rPr>
          <w:rFonts w:eastAsiaTheme="minorHAnsi"/>
          <w:lang w:val="fr-FR"/>
        </w:rPr>
      </w:pPr>
      <w:r w:rsidRPr="00EF0E92">
        <w:rPr>
          <w:rFonts w:eastAsiaTheme="minorHAnsi"/>
          <w:lang w:val="fr-FR"/>
        </w:rPr>
        <w:fldChar w:fldCharType="begin"/>
      </w:r>
      <w:r w:rsidRPr="00EF0E92">
        <w:rPr>
          <w:rFonts w:eastAsiaTheme="minorHAnsi"/>
          <w:lang w:val="fr-FR"/>
        </w:rPr>
        <w:instrText xml:space="preserve"> SEQ level0 \*arabic </w:instrText>
      </w:r>
      <w:r w:rsidRPr="00EF0E92">
        <w:rPr>
          <w:rFonts w:eastAsiaTheme="minorHAnsi"/>
          <w:lang w:val="fr-FR"/>
        </w:rPr>
        <w:fldChar w:fldCharType="separate"/>
      </w:r>
      <w:r w:rsidR="00EF0E92" w:rsidRPr="00EF0E92">
        <w:rPr>
          <w:rFonts w:eastAsiaTheme="minorHAnsi"/>
          <w:noProof/>
          <w:lang w:val="fr-FR"/>
        </w:rPr>
        <w:t>62</w:t>
      </w:r>
      <w:r w:rsidRPr="00EF0E92">
        <w:rPr>
          <w:rFonts w:eastAsiaTheme="minorHAnsi"/>
          <w:lang w:val="fr-FR"/>
        </w:rPr>
        <w:fldChar w:fldCharType="end"/>
      </w:r>
      <w:r w:rsidRPr="00EF0E92">
        <w:rPr>
          <w:rFonts w:eastAsiaTheme="minorHAnsi"/>
          <w:lang w:val="fr-FR"/>
        </w:rPr>
        <w:t xml:space="preserve">.  La Cour constate </w:t>
      </w:r>
      <w:r w:rsidR="00737889" w:rsidRPr="00EF0E92">
        <w:rPr>
          <w:rFonts w:eastAsiaTheme="minorHAnsi"/>
          <w:lang w:val="fr-FR"/>
        </w:rPr>
        <w:t>qu</w:t>
      </w:r>
      <w:r w:rsidR="00EF0E92" w:rsidRPr="00EF0E92">
        <w:rPr>
          <w:rFonts w:eastAsiaTheme="minorHAnsi"/>
          <w:lang w:val="fr-FR"/>
        </w:rPr>
        <w:t>’</w:t>
      </w:r>
      <w:r w:rsidR="00737889" w:rsidRPr="00EF0E92">
        <w:rPr>
          <w:rFonts w:eastAsiaTheme="minorHAnsi"/>
          <w:lang w:val="fr-FR"/>
        </w:rPr>
        <w:t xml:space="preserve">il ressort du dossier </w:t>
      </w:r>
      <w:r w:rsidRPr="00EF0E92">
        <w:rPr>
          <w:rFonts w:eastAsiaTheme="minorHAnsi"/>
          <w:lang w:val="fr-FR"/>
        </w:rPr>
        <w:t>que</w:t>
      </w:r>
      <w:r w:rsidR="00737889" w:rsidRPr="00EF0E92">
        <w:rPr>
          <w:rFonts w:eastAsiaTheme="minorHAnsi"/>
          <w:lang w:val="fr-FR"/>
        </w:rPr>
        <w:t xml:space="preserve"> entre </w:t>
      </w:r>
      <w:r w:rsidRPr="00EF0E92">
        <w:rPr>
          <w:rFonts w:eastAsiaTheme="minorHAnsi"/>
          <w:lang w:val="fr-FR"/>
        </w:rPr>
        <w:t>mai</w:t>
      </w:r>
      <w:r w:rsidR="00737889" w:rsidRPr="00EF0E92">
        <w:rPr>
          <w:rFonts w:eastAsiaTheme="minorHAnsi"/>
          <w:lang w:val="fr-FR"/>
        </w:rPr>
        <w:t xml:space="preserve"> 2009 et octobre 2011, date à laquelle le tribunal rendit sa décision, les services sociaux ne se sont pas activé</w:t>
      </w:r>
      <w:r w:rsidRPr="00EF0E92">
        <w:rPr>
          <w:rFonts w:eastAsiaTheme="minorHAnsi"/>
          <w:lang w:val="fr-FR"/>
        </w:rPr>
        <w:t>s</w:t>
      </w:r>
      <w:r w:rsidR="00737889" w:rsidRPr="00EF0E92">
        <w:rPr>
          <w:rFonts w:eastAsiaTheme="minorHAnsi"/>
          <w:lang w:val="fr-FR"/>
        </w:rPr>
        <w:t xml:space="preserve"> afin de renouer le lien </w:t>
      </w:r>
      <w:r w:rsidRPr="00EF0E92">
        <w:rPr>
          <w:rFonts w:eastAsiaTheme="minorHAnsi"/>
          <w:lang w:val="fr-FR"/>
        </w:rPr>
        <w:t>entre le requérant et son fils mêmes si d</w:t>
      </w:r>
      <w:r w:rsidR="00737889" w:rsidRPr="00EF0E92">
        <w:rPr>
          <w:rFonts w:eastAsiaTheme="minorHAnsi"/>
          <w:lang w:val="fr-FR"/>
        </w:rPr>
        <w:t>es ex</w:t>
      </w:r>
      <w:r w:rsidRPr="00EF0E92">
        <w:rPr>
          <w:rFonts w:eastAsiaTheme="minorHAnsi"/>
          <w:lang w:val="fr-FR"/>
        </w:rPr>
        <w:t xml:space="preserve">pertises avaient été demandées et </w:t>
      </w:r>
      <w:r w:rsidR="00737889" w:rsidRPr="00EF0E92">
        <w:rPr>
          <w:rFonts w:eastAsiaTheme="minorHAnsi"/>
          <w:lang w:val="fr-FR"/>
        </w:rPr>
        <w:t>un projet de soutien devai</w:t>
      </w:r>
      <w:r w:rsidRPr="00EF0E92">
        <w:rPr>
          <w:rFonts w:eastAsiaTheme="minorHAnsi"/>
          <w:lang w:val="fr-FR"/>
        </w:rPr>
        <w:t>t être mis en place pour aider les deux parents</w:t>
      </w:r>
      <w:r w:rsidR="00737889" w:rsidRPr="00EF0E92">
        <w:rPr>
          <w:rFonts w:eastAsiaTheme="minorHAnsi"/>
          <w:lang w:val="fr-FR"/>
        </w:rPr>
        <w:t xml:space="preserve"> </w:t>
      </w:r>
      <w:r w:rsidRPr="00EF0E92">
        <w:rPr>
          <w:rFonts w:eastAsiaTheme="minorHAnsi"/>
          <w:lang w:val="fr-FR"/>
        </w:rPr>
        <w:t>à</w:t>
      </w:r>
      <w:r w:rsidR="00737889" w:rsidRPr="00EF0E92">
        <w:rPr>
          <w:rFonts w:eastAsiaTheme="minorHAnsi"/>
          <w:lang w:val="fr-FR"/>
        </w:rPr>
        <w:t xml:space="preserve"> améliorer </w:t>
      </w:r>
      <w:r w:rsidR="00644EC5" w:rsidRPr="00EF0E92">
        <w:rPr>
          <w:rFonts w:eastAsiaTheme="minorHAnsi"/>
          <w:lang w:val="fr-FR"/>
        </w:rPr>
        <w:t>leur</w:t>
      </w:r>
      <w:r w:rsidR="00737889" w:rsidRPr="00EF0E92">
        <w:rPr>
          <w:rFonts w:eastAsiaTheme="minorHAnsi"/>
          <w:lang w:val="fr-FR"/>
        </w:rPr>
        <w:t xml:space="preserve"> capacités parentales</w:t>
      </w:r>
      <w:r w:rsidRPr="00EF0E92">
        <w:rPr>
          <w:rFonts w:eastAsiaTheme="minorHAnsi"/>
          <w:lang w:val="fr-FR"/>
        </w:rPr>
        <w:t xml:space="preserve"> (paragraphes </w:t>
      </w:r>
      <w:r w:rsidR="00644EC5" w:rsidRPr="00EF0E92">
        <w:rPr>
          <w:rFonts w:eastAsiaTheme="minorHAnsi"/>
          <w:lang w:val="fr-FR"/>
        </w:rPr>
        <w:fldChar w:fldCharType="begin"/>
      </w:r>
      <w:r w:rsidR="00644EC5" w:rsidRPr="00EF0E92">
        <w:rPr>
          <w:rFonts w:eastAsiaTheme="minorHAnsi"/>
          <w:lang w:val="fr-FR"/>
        </w:rPr>
        <w:instrText xml:space="preserve"> REF para16 \h </w:instrText>
      </w:r>
      <w:r w:rsidR="005A52D7" w:rsidRPr="00EF0E92">
        <w:rPr>
          <w:rFonts w:eastAsiaTheme="minorHAnsi"/>
          <w:lang w:val="fr-FR"/>
        </w:rPr>
        <w:instrText xml:space="preserve"> \* MERGEFORMAT </w:instrText>
      </w:r>
      <w:r w:rsidR="00644EC5" w:rsidRPr="00EF0E92">
        <w:rPr>
          <w:rFonts w:eastAsiaTheme="minorHAnsi"/>
          <w:lang w:val="fr-FR"/>
        </w:rPr>
      </w:r>
      <w:r w:rsidR="00644EC5" w:rsidRPr="00EF0E92">
        <w:rPr>
          <w:rFonts w:eastAsiaTheme="minorHAnsi"/>
          <w:lang w:val="fr-FR"/>
        </w:rPr>
        <w:fldChar w:fldCharType="separate"/>
      </w:r>
      <w:r w:rsidR="00EF0E92" w:rsidRPr="00EF0E92">
        <w:rPr>
          <w:noProof/>
          <w:lang w:val="fr-FR"/>
        </w:rPr>
        <w:t>16</w:t>
      </w:r>
      <w:r w:rsidR="00644EC5" w:rsidRPr="00EF0E92">
        <w:rPr>
          <w:rFonts w:eastAsiaTheme="minorHAnsi"/>
          <w:lang w:val="fr-FR"/>
        </w:rPr>
        <w:fldChar w:fldCharType="end"/>
      </w:r>
      <w:r w:rsidRPr="00EF0E92">
        <w:rPr>
          <w:rFonts w:eastAsiaTheme="minorHAnsi"/>
          <w:lang w:val="fr-FR"/>
        </w:rPr>
        <w:t>-</w:t>
      </w:r>
      <w:r w:rsidR="00644EC5" w:rsidRPr="00EF0E92">
        <w:rPr>
          <w:rFonts w:eastAsiaTheme="minorHAnsi"/>
          <w:lang w:val="fr-FR"/>
        </w:rPr>
        <w:fldChar w:fldCharType="begin"/>
      </w:r>
      <w:r w:rsidR="00644EC5" w:rsidRPr="00EF0E92">
        <w:rPr>
          <w:rFonts w:eastAsiaTheme="minorHAnsi"/>
          <w:lang w:val="fr-FR"/>
        </w:rPr>
        <w:instrText xml:space="preserve"> REF para19 \h </w:instrText>
      </w:r>
      <w:r w:rsidR="005A52D7" w:rsidRPr="00EF0E92">
        <w:rPr>
          <w:rFonts w:eastAsiaTheme="minorHAnsi"/>
          <w:lang w:val="fr-FR"/>
        </w:rPr>
        <w:instrText xml:space="preserve"> \* MERGEFORMAT </w:instrText>
      </w:r>
      <w:r w:rsidR="00644EC5" w:rsidRPr="00EF0E92">
        <w:rPr>
          <w:rFonts w:eastAsiaTheme="minorHAnsi"/>
          <w:lang w:val="fr-FR"/>
        </w:rPr>
      </w:r>
      <w:r w:rsidR="00644EC5" w:rsidRPr="00EF0E92">
        <w:rPr>
          <w:rFonts w:eastAsiaTheme="minorHAnsi"/>
          <w:lang w:val="fr-FR"/>
        </w:rPr>
        <w:fldChar w:fldCharType="separate"/>
      </w:r>
      <w:r w:rsidR="00EF0E92" w:rsidRPr="00EF0E92">
        <w:rPr>
          <w:noProof/>
          <w:lang w:val="fr-FR"/>
        </w:rPr>
        <w:t>19</w:t>
      </w:r>
      <w:r w:rsidR="00644EC5" w:rsidRPr="00EF0E92">
        <w:rPr>
          <w:rFonts w:eastAsiaTheme="minorHAnsi"/>
          <w:lang w:val="fr-FR"/>
        </w:rPr>
        <w:fldChar w:fldCharType="end"/>
      </w:r>
      <w:r w:rsidRPr="00EF0E92">
        <w:rPr>
          <w:rFonts w:eastAsiaTheme="minorHAnsi"/>
          <w:lang w:val="fr-FR"/>
        </w:rPr>
        <w:t xml:space="preserve"> ci –dessus). Elle relève à cet égard qu</w:t>
      </w:r>
      <w:r w:rsidR="00EF0E92" w:rsidRPr="00EF0E92">
        <w:rPr>
          <w:rFonts w:eastAsiaTheme="minorHAnsi"/>
          <w:lang w:val="fr-FR"/>
        </w:rPr>
        <w:t>’</w:t>
      </w:r>
      <w:r w:rsidRPr="00EF0E92">
        <w:rPr>
          <w:rFonts w:eastAsiaTheme="minorHAnsi"/>
          <w:lang w:val="fr-FR"/>
        </w:rPr>
        <w:t xml:space="preserve">entre </w:t>
      </w:r>
      <w:r w:rsidRPr="00EF0E92">
        <w:rPr>
          <w:lang w:val="fr-FR"/>
        </w:rPr>
        <w:t>novembre 2009 et octobre 2010, le requérant avait déposé devant ce tribunal cinq recours urgents afin de pouvoir rencontrer son fils</w:t>
      </w:r>
      <w:r w:rsidRPr="00EF0E92">
        <w:rPr>
          <w:rFonts w:eastAsiaTheme="minorHAnsi"/>
          <w:lang w:val="fr-FR"/>
        </w:rPr>
        <w:t xml:space="preserve">, nonobstant </w:t>
      </w:r>
      <w:r w:rsidRPr="00EF0E92">
        <w:rPr>
          <w:lang w:val="fr-FR"/>
        </w:rPr>
        <w:t>le fait que, en 10 juin 2009, le parquet avait donné son avis favorable aux rencontres entre lui et l</w:t>
      </w:r>
      <w:r w:rsidR="00EF0E92" w:rsidRPr="00EF0E92">
        <w:rPr>
          <w:lang w:val="fr-FR"/>
        </w:rPr>
        <w:t>’</w:t>
      </w:r>
      <w:r w:rsidRPr="00EF0E92">
        <w:rPr>
          <w:lang w:val="fr-FR"/>
        </w:rPr>
        <w:t>enfant.</w:t>
      </w:r>
    </w:p>
    <w:p w:rsidR="00737889" w:rsidRPr="00EF0E92" w:rsidRDefault="00A964EC" w:rsidP="00EF0E92">
      <w:pPr>
        <w:pStyle w:val="ECHRPara"/>
        <w:rPr>
          <w:rFonts w:eastAsiaTheme="minorHAnsi"/>
          <w:lang w:val="fr-FR"/>
        </w:rPr>
      </w:pPr>
      <w:r w:rsidRPr="00EF0E92">
        <w:rPr>
          <w:rFonts w:eastAsiaTheme="minorHAnsi"/>
          <w:lang w:val="fr-FR"/>
        </w:rPr>
        <w:t xml:space="preserve">La Cour observe </w:t>
      </w:r>
      <w:r w:rsidR="00737889" w:rsidRPr="00EF0E92">
        <w:rPr>
          <w:rFonts w:eastAsiaTheme="minorHAnsi"/>
          <w:lang w:val="fr-FR"/>
        </w:rPr>
        <w:t>que les juridictions ont ensuite toléré pendant environ sept ans que la mère, par son comportement, empêchât l</w:t>
      </w:r>
      <w:r w:rsidR="00EF0E92" w:rsidRPr="00EF0E92">
        <w:rPr>
          <w:rFonts w:eastAsiaTheme="minorHAnsi"/>
          <w:lang w:val="fr-FR"/>
        </w:rPr>
        <w:t>’</w:t>
      </w:r>
      <w:r w:rsidR="00737889" w:rsidRPr="00EF0E92">
        <w:rPr>
          <w:rFonts w:eastAsiaTheme="minorHAnsi"/>
          <w:lang w:val="fr-FR"/>
        </w:rPr>
        <w:t>établissement d</w:t>
      </w:r>
      <w:r w:rsidR="00EF0E92" w:rsidRPr="00EF0E92">
        <w:rPr>
          <w:rFonts w:eastAsiaTheme="minorHAnsi"/>
          <w:lang w:val="fr-FR"/>
        </w:rPr>
        <w:t>’</w:t>
      </w:r>
      <w:r w:rsidR="00737889" w:rsidRPr="00EF0E92">
        <w:rPr>
          <w:rFonts w:eastAsiaTheme="minorHAnsi"/>
          <w:lang w:val="fr-FR"/>
        </w:rPr>
        <w:t>une véritable relation entre le requérant et l</w:t>
      </w:r>
      <w:r w:rsidR="00EF0E92" w:rsidRPr="00EF0E92">
        <w:rPr>
          <w:rFonts w:eastAsiaTheme="minorHAnsi"/>
          <w:lang w:val="fr-FR"/>
        </w:rPr>
        <w:t>’</w:t>
      </w:r>
      <w:r w:rsidR="00737889" w:rsidRPr="00EF0E92">
        <w:rPr>
          <w:rFonts w:eastAsiaTheme="minorHAnsi"/>
          <w:lang w:val="fr-FR"/>
        </w:rPr>
        <w:t>enfant.</w:t>
      </w:r>
    </w:p>
    <w:p w:rsidR="00737889" w:rsidRPr="00EF0E92" w:rsidRDefault="00737889" w:rsidP="00EF0E92">
      <w:pPr>
        <w:pStyle w:val="ECHRPara"/>
        <w:rPr>
          <w:rFonts w:eastAsiaTheme="minorHAnsi"/>
          <w:lang w:val="fr-FR"/>
        </w:rPr>
      </w:pPr>
      <w:r w:rsidRPr="00EF0E92">
        <w:rPr>
          <w:rFonts w:eastAsiaTheme="minorHAnsi"/>
          <w:lang w:val="fr-FR"/>
        </w:rPr>
        <w:fldChar w:fldCharType="begin"/>
      </w:r>
      <w:r w:rsidRPr="00EF0E92">
        <w:rPr>
          <w:rFonts w:eastAsiaTheme="minorHAnsi"/>
          <w:lang w:val="fr-FR"/>
        </w:rPr>
        <w:instrText xml:space="preserve"> SEQ level0 \*arabic </w:instrText>
      </w:r>
      <w:r w:rsidRPr="00EF0E92">
        <w:rPr>
          <w:rFonts w:eastAsiaTheme="minorHAnsi"/>
          <w:lang w:val="fr-FR"/>
        </w:rPr>
        <w:fldChar w:fldCharType="separate"/>
      </w:r>
      <w:r w:rsidR="00EF0E92" w:rsidRPr="00EF0E92">
        <w:rPr>
          <w:rFonts w:eastAsiaTheme="minorHAnsi"/>
          <w:noProof/>
          <w:lang w:val="fr-FR"/>
        </w:rPr>
        <w:t>63</w:t>
      </w:r>
      <w:r w:rsidRPr="00EF0E92">
        <w:rPr>
          <w:rFonts w:eastAsiaTheme="minorHAnsi"/>
          <w:lang w:val="fr-FR"/>
        </w:rPr>
        <w:fldChar w:fldCharType="end"/>
      </w:r>
      <w:r w:rsidRPr="00EF0E92">
        <w:rPr>
          <w:rFonts w:eastAsiaTheme="minorHAnsi"/>
          <w:lang w:val="fr-FR"/>
        </w:rPr>
        <w:t>.  La Cour relève que le déroulement de la procédure devant le tribunal fait plutôt apparaître une série de mesures automatiques et stéréotypées, telles que des demandes successives de renseignements et une délégation du suivi de la famille aux services sociaux, (</w:t>
      </w:r>
      <w:r w:rsidR="00AD5330" w:rsidRPr="00EF0E92">
        <w:rPr>
          <w:rFonts w:eastAsiaTheme="minorHAnsi"/>
          <w:i/>
          <w:iCs/>
          <w:lang w:val="fr-FR"/>
        </w:rPr>
        <w:t>Piazzi</w:t>
      </w:r>
      <w:r w:rsidR="00AD5330" w:rsidRPr="00EF0E92">
        <w:rPr>
          <w:rFonts w:eastAsiaTheme="minorHAnsi"/>
          <w:lang w:val="fr-FR"/>
        </w:rPr>
        <w:t xml:space="preserve">, précité, § 61 et </w:t>
      </w:r>
      <w:r w:rsidRPr="00EF0E92">
        <w:rPr>
          <w:rFonts w:eastAsiaTheme="minorHAnsi"/>
          <w:i/>
          <w:iCs/>
          <w:lang w:val="fr-FR"/>
        </w:rPr>
        <w:t>Lombardo</w:t>
      </w:r>
      <w:r w:rsidR="00AD5330" w:rsidRPr="00EF0E92">
        <w:rPr>
          <w:rFonts w:eastAsiaTheme="minorHAnsi"/>
          <w:lang w:val="fr-FR"/>
        </w:rPr>
        <w:t>, précité, § 92</w:t>
      </w:r>
      <w:r w:rsidRPr="00EF0E92">
        <w:rPr>
          <w:rFonts w:eastAsiaTheme="minorHAnsi"/>
          <w:lang w:val="fr-FR"/>
        </w:rPr>
        <w:t xml:space="preserve">). Aussi estime-t-elle que les autorités ont laissé se consolider </w:t>
      </w:r>
      <w:r w:rsidRPr="00EF0E92">
        <w:rPr>
          <w:rFonts w:eastAsiaTheme="minorHAnsi"/>
          <w:lang w:val="fr-FR"/>
        </w:rPr>
        <w:lastRenderedPageBreak/>
        <w:t>une situation de fait installée au mépris des décisions judiciaires (</w:t>
      </w:r>
      <w:r w:rsidRPr="00EF0E92">
        <w:rPr>
          <w:rFonts w:eastAsiaTheme="minorHAnsi"/>
          <w:i/>
          <w:iCs/>
          <w:lang w:val="fr-FR"/>
        </w:rPr>
        <w:t>Fourkiotis</w:t>
      </w:r>
      <w:r w:rsidRPr="00EF0E92">
        <w:rPr>
          <w:rFonts w:eastAsiaTheme="minorHAnsi"/>
          <w:lang w:val="fr-FR"/>
        </w:rPr>
        <w:t>, précité, § 70).</w:t>
      </w:r>
    </w:p>
    <w:p w:rsidR="00737889" w:rsidRPr="00EF0E92" w:rsidRDefault="009431A9" w:rsidP="00EF0E92">
      <w:pPr>
        <w:pStyle w:val="ECHRPara"/>
        <w:rPr>
          <w:rFonts w:eastAsiaTheme="minorHAnsi"/>
          <w:lang w:val="fr-FR"/>
        </w:rPr>
      </w:pPr>
      <w:r w:rsidRPr="00EF0E92">
        <w:rPr>
          <w:rFonts w:eastAsiaTheme="minorHAnsi"/>
          <w:lang w:val="fr-FR"/>
        </w:rPr>
        <w:fldChar w:fldCharType="begin"/>
      </w:r>
      <w:r w:rsidRPr="00EF0E92">
        <w:rPr>
          <w:rFonts w:eastAsiaTheme="minorHAnsi"/>
          <w:lang w:val="fr-FR"/>
        </w:rPr>
        <w:instrText xml:space="preserve"> SEQ level0 \*arabic </w:instrText>
      </w:r>
      <w:r w:rsidRPr="00EF0E92">
        <w:rPr>
          <w:rFonts w:eastAsiaTheme="minorHAnsi"/>
          <w:lang w:val="fr-FR"/>
        </w:rPr>
        <w:fldChar w:fldCharType="separate"/>
      </w:r>
      <w:r w:rsidR="00EF0E92" w:rsidRPr="00EF0E92">
        <w:rPr>
          <w:rFonts w:eastAsiaTheme="minorHAnsi"/>
          <w:noProof/>
          <w:lang w:val="fr-FR"/>
        </w:rPr>
        <w:t>64</w:t>
      </w:r>
      <w:r w:rsidRPr="00EF0E92">
        <w:rPr>
          <w:rFonts w:eastAsiaTheme="minorHAnsi"/>
          <w:lang w:val="fr-FR"/>
        </w:rPr>
        <w:fldChar w:fldCharType="end"/>
      </w:r>
      <w:r w:rsidRPr="00EF0E92">
        <w:rPr>
          <w:rFonts w:eastAsiaTheme="minorHAnsi"/>
          <w:lang w:val="fr-FR"/>
        </w:rPr>
        <w:t>.  </w:t>
      </w:r>
      <w:r w:rsidR="00737889" w:rsidRPr="00EF0E92">
        <w:rPr>
          <w:rFonts w:eastAsiaTheme="minorHAnsi"/>
          <w:lang w:val="fr-FR"/>
        </w:rPr>
        <w:t>Eu égard à ce qui précède et nonobstant la marge d</w:t>
      </w:r>
      <w:r w:rsidR="00EF0E92" w:rsidRPr="00EF0E92">
        <w:rPr>
          <w:rFonts w:eastAsiaTheme="minorHAnsi"/>
          <w:lang w:val="fr-FR"/>
        </w:rPr>
        <w:t>’</w:t>
      </w:r>
      <w:r w:rsidR="00737889" w:rsidRPr="00EF0E92">
        <w:rPr>
          <w:rFonts w:eastAsiaTheme="minorHAnsi"/>
          <w:lang w:val="fr-FR"/>
        </w:rPr>
        <w:t>appréciation de l</w:t>
      </w:r>
      <w:r w:rsidR="00EF0E92" w:rsidRPr="00EF0E92">
        <w:rPr>
          <w:rFonts w:eastAsiaTheme="minorHAnsi"/>
          <w:lang w:val="fr-FR"/>
        </w:rPr>
        <w:t>’</w:t>
      </w:r>
      <w:r w:rsidR="00737889" w:rsidRPr="00EF0E92">
        <w:rPr>
          <w:rFonts w:eastAsiaTheme="minorHAnsi"/>
          <w:lang w:val="fr-FR"/>
        </w:rPr>
        <w:t>État défendeur en la matière, la Cour considère que les autorités nationales n</w:t>
      </w:r>
      <w:r w:rsidR="00EF0E92" w:rsidRPr="00EF0E92">
        <w:rPr>
          <w:rFonts w:eastAsiaTheme="minorHAnsi"/>
          <w:lang w:val="fr-FR"/>
        </w:rPr>
        <w:t>’</w:t>
      </w:r>
      <w:r w:rsidR="00737889" w:rsidRPr="00EF0E92">
        <w:rPr>
          <w:rFonts w:eastAsiaTheme="minorHAnsi"/>
          <w:lang w:val="fr-FR"/>
        </w:rPr>
        <w:t>ont pas déployé les efforts adéquats et suffisants pour faire respecter le droit de visite du requérant et qu</w:t>
      </w:r>
      <w:r w:rsidR="00EF0E92" w:rsidRPr="00EF0E92">
        <w:rPr>
          <w:rFonts w:eastAsiaTheme="minorHAnsi"/>
          <w:lang w:val="fr-FR"/>
        </w:rPr>
        <w:t>’</w:t>
      </w:r>
      <w:r w:rsidR="00737889" w:rsidRPr="00EF0E92">
        <w:rPr>
          <w:rFonts w:eastAsiaTheme="minorHAnsi"/>
          <w:lang w:val="fr-FR"/>
        </w:rPr>
        <w:t>elles ont méconnu le droit de l</w:t>
      </w:r>
      <w:r w:rsidR="00EF0E92" w:rsidRPr="00EF0E92">
        <w:rPr>
          <w:rFonts w:eastAsiaTheme="minorHAnsi"/>
          <w:lang w:val="fr-FR"/>
        </w:rPr>
        <w:t>’</w:t>
      </w:r>
      <w:r w:rsidR="00737889" w:rsidRPr="00EF0E92">
        <w:rPr>
          <w:rFonts w:eastAsiaTheme="minorHAnsi"/>
          <w:lang w:val="fr-FR"/>
        </w:rPr>
        <w:t>intéressé au respect de sa vie familiale.</w:t>
      </w:r>
    </w:p>
    <w:p w:rsidR="00737889" w:rsidRPr="00EF0E92" w:rsidRDefault="00644EC5" w:rsidP="00EF0E92">
      <w:pPr>
        <w:pStyle w:val="ECHRPara"/>
        <w:rPr>
          <w:lang w:val="fr-FR"/>
        </w:rPr>
      </w:pPr>
      <w:r w:rsidRPr="00EF0E92">
        <w:rPr>
          <w:rFonts w:eastAsiaTheme="minorHAnsi"/>
          <w:lang w:val="fr-FR"/>
        </w:rPr>
        <w:fldChar w:fldCharType="begin"/>
      </w:r>
      <w:r w:rsidRPr="00EF0E92">
        <w:rPr>
          <w:rFonts w:eastAsiaTheme="minorHAnsi"/>
          <w:lang w:val="fr-FR"/>
        </w:rPr>
        <w:instrText xml:space="preserve"> SEQ level0 \*arabic </w:instrText>
      </w:r>
      <w:r w:rsidRPr="00EF0E92">
        <w:rPr>
          <w:rFonts w:eastAsiaTheme="minorHAnsi"/>
          <w:lang w:val="fr-FR"/>
        </w:rPr>
        <w:fldChar w:fldCharType="separate"/>
      </w:r>
      <w:r w:rsidR="00EF0E92" w:rsidRPr="00EF0E92">
        <w:rPr>
          <w:rFonts w:eastAsiaTheme="minorHAnsi"/>
          <w:noProof/>
          <w:lang w:val="fr-FR"/>
        </w:rPr>
        <w:t>65</w:t>
      </w:r>
      <w:r w:rsidRPr="00EF0E92">
        <w:rPr>
          <w:rFonts w:eastAsiaTheme="minorHAnsi"/>
          <w:lang w:val="fr-FR"/>
        </w:rPr>
        <w:fldChar w:fldCharType="end"/>
      </w:r>
      <w:r w:rsidRPr="00EF0E92">
        <w:rPr>
          <w:rFonts w:eastAsiaTheme="minorHAnsi"/>
          <w:lang w:val="fr-FR"/>
        </w:rPr>
        <w:t>.  </w:t>
      </w:r>
      <w:r w:rsidR="00737889" w:rsidRPr="00EF0E92">
        <w:rPr>
          <w:rFonts w:eastAsiaTheme="minorHAnsi"/>
          <w:lang w:val="fr-FR"/>
        </w:rPr>
        <w:t>Partant, il y a eu violation de l</w:t>
      </w:r>
      <w:r w:rsidR="00EF0E92" w:rsidRPr="00EF0E92">
        <w:rPr>
          <w:rFonts w:eastAsiaTheme="minorHAnsi"/>
          <w:lang w:val="fr-FR"/>
        </w:rPr>
        <w:t>’</w:t>
      </w:r>
      <w:r w:rsidR="00737889" w:rsidRPr="00EF0E92">
        <w:rPr>
          <w:rFonts w:eastAsiaTheme="minorHAnsi"/>
          <w:lang w:val="fr-FR"/>
        </w:rPr>
        <w:t>article 8 de la Convention</w:t>
      </w:r>
      <w:r w:rsidR="00737889" w:rsidRPr="00EF0E92">
        <w:rPr>
          <w:lang w:val="fr-FR"/>
        </w:rPr>
        <w:t>.</w:t>
      </w:r>
    </w:p>
    <w:p w:rsidR="00737889" w:rsidRPr="00EF0E92" w:rsidRDefault="00737889" w:rsidP="00EF0E92">
      <w:pPr>
        <w:pStyle w:val="ECHRHeading1"/>
        <w:rPr>
          <w:lang w:val="fr-FR"/>
        </w:rPr>
      </w:pPr>
      <w:r w:rsidRPr="00EF0E92">
        <w:rPr>
          <w:lang w:val="fr-FR"/>
        </w:rPr>
        <w:t>II.  SUR L</w:t>
      </w:r>
      <w:r w:rsidR="00EF0E92" w:rsidRPr="00EF0E92">
        <w:rPr>
          <w:lang w:val="fr-FR"/>
        </w:rPr>
        <w:t>’</w:t>
      </w:r>
      <w:r w:rsidRPr="00EF0E92">
        <w:rPr>
          <w:lang w:val="fr-FR"/>
        </w:rPr>
        <w:t>APPLICATION DE L</w:t>
      </w:r>
      <w:r w:rsidR="00EF0E92" w:rsidRPr="00EF0E92">
        <w:rPr>
          <w:lang w:val="fr-FR"/>
        </w:rPr>
        <w:t>’</w:t>
      </w:r>
      <w:r w:rsidRPr="00EF0E92">
        <w:rPr>
          <w:lang w:val="fr-FR"/>
        </w:rPr>
        <w:t>ARTICLE 41 DE LA CONVENTION</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66</w:t>
      </w:r>
      <w:r w:rsidRPr="00EF0E92">
        <w:rPr>
          <w:lang w:val="fr-FR"/>
        </w:rPr>
        <w:fldChar w:fldCharType="end"/>
      </w:r>
      <w:r w:rsidRPr="00EF0E92">
        <w:rPr>
          <w:lang w:val="fr-FR"/>
        </w:rPr>
        <w:t>.  Aux termes de l</w:t>
      </w:r>
      <w:r w:rsidR="00EF0E92" w:rsidRPr="00EF0E92">
        <w:rPr>
          <w:lang w:val="fr-FR"/>
        </w:rPr>
        <w:t>’</w:t>
      </w:r>
      <w:r w:rsidRPr="00EF0E92">
        <w:rPr>
          <w:lang w:val="fr-FR"/>
        </w:rPr>
        <w:t>article 41 de la Convention,</w:t>
      </w:r>
    </w:p>
    <w:p w:rsidR="00737889" w:rsidRPr="00EF0E92" w:rsidRDefault="00737889" w:rsidP="00EF0E92">
      <w:pPr>
        <w:pStyle w:val="ECHRParaQuote"/>
        <w:rPr>
          <w:lang w:val="fr-FR"/>
        </w:rPr>
      </w:pPr>
      <w:r w:rsidRPr="00EF0E92">
        <w:rPr>
          <w:lang w:val="fr-FR"/>
        </w:rPr>
        <w:t>« Si la Cour déclare qu</w:t>
      </w:r>
      <w:r w:rsidR="00EF0E92" w:rsidRPr="00EF0E92">
        <w:rPr>
          <w:lang w:val="fr-FR"/>
        </w:rPr>
        <w:t>’</w:t>
      </w:r>
      <w:r w:rsidRPr="00EF0E92">
        <w:rPr>
          <w:lang w:val="fr-FR"/>
        </w:rPr>
        <w:t>il y a eu violation de la Convention ou de ses Protocoles, et si le droit interne de la Haute Partie contractante ne permet d</w:t>
      </w:r>
      <w:r w:rsidR="00EF0E92" w:rsidRPr="00EF0E92">
        <w:rPr>
          <w:lang w:val="fr-FR"/>
        </w:rPr>
        <w:t>’</w:t>
      </w:r>
      <w:r w:rsidRPr="00EF0E92">
        <w:rPr>
          <w:lang w:val="fr-FR"/>
        </w:rPr>
        <w:t>effacer qu</w:t>
      </w:r>
      <w:r w:rsidR="00EF0E92" w:rsidRPr="00EF0E92">
        <w:rPr>
          <w:lang w:val="fr-FR"/>
        </w:rPr>
        <w:t>’</w:t>
      </w:r>
      <w:r w:rsidRPr="00EF0E92">
        <w:rPr>
          <w:lang w:val="fr-FR"/>
        </w:rPr>
        <w:t>imparfaitement les conséquences de cette violation, la Cour accorde à la partie lésée, s</w:t>
      </w:r>
      <w:r w:rsidR="00EF0E92" w:rsidRPr="00EF0E92">
        <w:rPr>
          <w:lang w:val="fr-FR"/>
        </w:rPr>
        <w:t>’</w:t>
      </w:r>
      <w:r w:rsidRPr="00EF0E92">
        <w:rPr>
          <w:lang w:val="fr-FR"/>
        </w:rPr>
        <w:t>il y a lieu, une satisfaction équitable. »</w:t>
      </w:r>
    </w:p>
    <w:p w:rsidR="00737889" w:rsidRPr="00EF0E92" w:rsidRDefault="00737889" w:rsidP="00EF0E92">
      <w:pPr>
        <w:pStyle w:val="ECHRHeading2"/>
        <w:rPr>
          <w:lang w:val="fr-FR"/>
        </w:rPr>
      </w:pPr>
      <w:r w:rsidRPr="00EF0E92">
        <w:rPr>
          <w:lang w:val="fr-FR"/>
        </w:rPr>
        <w:t>A.  Dommage</w:t>
      </w:r>
    </w:p>
    <w:p w:rsidR="00737889" w:rsidRPr="00EF0E92" w:rsidRDefault="00737889" w:rsidP="00EF0E92">
      <w:pPr>
        <w:pStyle w:val="ECHRPara"/>
        <w:rPr>
          <w:rFonts w:eastAsiaTheme="minorHAnsi"/>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67</w:t>
      </w:r>
      <w:r w:rsidRPr="00EF0E92">
        <w:rPr>
          <w:lang w:val="fr-FR"/>
        </w:rPr>
        <w:fldChar w:fldCharType="end"/>
      </w:r>
      <w:r w:rsidRPr="00EF0E92">
        <w:rPr>
          <w:lang w:val="fr-FR"/>
        </w:rPr>
        <w:t>.  </w:t>
      </w:r>
      <w:r w:rsidRPr="00EF0E92">
        <w:rPr>
          <w:rFonts w:eastAsiaTheme="minorHAnsi"/>
          <w:lang w:val="fr-FR"/>
        </w:rPr>
        <w:t>Le requérant réclame 50 000 euros (EUR) au titre du préjudice moral qu</w:t>
      </w:r>
      <w:r w:rsidR="00EF0E92" w:rsidRPr="00EF0E92">
        <w:rPr>
          <w:rFonts w:eastAsiaTheme="minorHAnsi"/>
          <w:lang w:val="fr-FR"/>
        </w:rPr>
        <w:t>’</w:t>
      </w:r>
      <w:r w:rsidRPr="00EF0E92">
        <w:rPr>
          <w:rFonts w:eastAsiaTheme="minorHAnsi"/>
          <w:lang w:val="fr-FR"/>
        </w:rPr>
        <w:t>il dit avoir subi en raison de l</w:t>
      </w:r>
      <w:r w:rsidR="00EF0E92" w:rsidRPr="00EF0E92">
        <w:rPr>
          <w:rFonts w:eastAsiaTheme="minorHAnsi"/>
          <w:lang w:val="fr-FR"/>
        </w:rPr>
        <w:t>’</w:t>
      </w:r>
      <w:r w:rsidRPr="00EF0E92">
        <w:rPr>
          <w:rFonts w:eastAsiaTheme="minorHAnsi"/>
          <w:lang w:val="fr-FR"/>
        </w:rPr>
        <w:t>impossibilité qui lui aurait été faite d</w:t>
      </w:r>
      <w:r w:rsidR="00EF0E92" w:rsidRPr="00EF0E92">
        <w:rPr>
          <w:rFonts w:eastAsiaTheme="minorHAnsi"/>
          <w:lang w:val="fr-FR"/>
        </w:rPr>
        <w:t>’</w:t>
      </w:r>
      <w:r w:rsidRPr="00EF0E92">
        <w:rPr>
          <w:rFonts w:eastAsiaTheme="minorHAnsi"/>
          <w:lang w:val="fr-FR"/>
        </w:rPr>
        <w:t>établir une relation avec son fils.</w:t>
      </w:r>
    </w:p>
    <w:p w:rsidR="00737889" w:rsidRPr="00EF0E92" w:rsidRDefault="000E09A4" w:rsidP="00EF0E92">
      <w:pPr>
        <w:pStyle w:val="ECHRPara"/>
        <w:rPr>
          <w:lang w:val="fr-FR"/>
        </w:rPr>
      </w:pPr>
      <w:r w:rsidRPr="00EF0E92">
        <w:rPr>
          <w:rFonts w:eastAsiaTheme="minorHAnsi"/>
          <w:lang w:val="fr-FR"/>
        </w:rPr>
        <w:fldChar w:fldCharType="begin"/>
      </w:r>
      <w:r w:rsidRPr="00EF0E92">
        <w:rPr>
          <w:rFonts w:eastAsiaTheme="minorHAnsi"/>
          <w:lang w:val="fr-FR"/>
        </w:rPr>
        <w:instrText xml:space="preserve"> SEQ level0 \*arabic </w:instrText>
      </w:r>
      <w:r w:rsidRPr="00EF0E92">
        <w:rPr>
          <w:rFonts w:eastAsiaTheme="minorHAnsi"/>
          <w:lang w:val="fr-FR"/>
        </w:rPr>
        <w:fldChar w:fldCharType="separate"/>
      </w:r>
      <w:r w:rsidR="00EF0E92" w:rsidRPr="00EF0E92">
        <w:rPr>
          <w:rFonts w:eastAsiaTheme="minorHAnsi"/>
          <w:noProof/>
          <w:lang w:val="fr-FR"/>
        </w:rPr>
        <w:t>68</w:t>
      </w:r>
      <w:r w:rsidRPr="00EF0E92">
        <w:rPr>
          <w:rFonts w:eastAsiaTheme="minorHAnsi"/>
          <w:lang w:val="fr-FR"/>
        </w:rPr>
        <w:fldChar w:fldCharType="end"/>
      </w:r>
      <w:r w:rsidRPr="00EF0E92">
        <w:rPr>
          <w:rFonts w:eastAsiaTheme="minorHAnsi"/>
          <w:lang w:val="fr-FR"/>
        </w:rPr>
        <w:t>.  </w:t>
      </w:r>
      <w:r w:rsidR="00737889" w:rsidRPr="00EF0E92">
        <w:rPr>
          <w:rFonts w:eastAsiaTheme="minorHAnsi"/>
          <w:lang w:val="fr-FR"/>
        </w:rPr>
        <w:t>Le Gouvernement combat cette prétention.</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69</w:t>
      </w:r>
      <w:r w:rsidRPr="00EF0E92">
        <w:rPr>
          <w:lang w:val="fr-FR"/>
        </w:rPr>
        <w:fldChar w:fldCharType="end"/>
      </w:r>
      <w:r w:rsidRPr="00EF0E92">
        <w:rPr>
          <w:lang w:val="fr-FR"/>
        </w:rPr>
        <w:t>.  La Cour considère qu</w:t>
      </w:r>
      <w:r w:rsidR="00EF0E92" w:rsidRPr="00EF0E92">
        <w:rPr>
          <w:lang w:val="fr-FR"/>
        </w:rPr>
        <w:t>’</w:t>
      </w:r>
      <w:r w:rsidRPr="00EF0E92">
        <w:rPr>
          <w:lang w:val="fr-FR"/>
        </w:rPr>
        <w:t>il y a lieu d</w:t>
      </w:r>
      <w:r w:rsidR="00EF0E92" w:rsidRPr="00EF0E92">
        <w:rPr>
          <w:lang w:val="fr-FR"/>
        </w:rPr>
        <w:t>’</w:t>
      </w:r>
      <w:r w:rsidRPr="00EF0E92">
        <w:rPr>
          <w:lang w:val="fr-FR"/>
        </w:rPr>
        <w:t>octroyer au requérant 15 000</w:t>
      </w:r>
      <w:r w:rsidR="00147F07" w:rsidRPr="00EF0E92">
        <w:rPr>
          <w:lang w:val="fr-FR"/>
        </w:rPr>
        <w:t> </w:t>
      </w:r>
      <w:r w:rsidRPr="00EF0E92">
        <w:rPr>
          <w:lang w:val="fr-FR"/>
        </w:rPr>
        <w:t>EUR pour dommage moral.</w:t>
      </w:r>
    </w:p>
    <w:p w:rsidR="00737889" w:rsidRPr="00EF0E92" w:rsidRDefault="00737889" w:rsidP="00EF0E92">
      <w:pPr>
        <w:pStyle w:val="ECHRHeading2"/>
        <w:rPr>
          <w:lang w:val="fr-FR"/>
        </w:rPr>
      </w:pPr>
      <w:r w:rsidRPr="00EF0E92">
        <w:rPr>
          <w:lang w:val="fr-FR"/>
        </w:rPr>
        <w:t>B.  Frais et dépens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70</w:t>
      </w:r>
      <w:r w:rsidRPr="00EF0E92">
        <w:rPr>
          <w:lang w:val="fr-FR"/>
        </w:rPr>
        <w:fldChar w:fldCharType="end"/>
      </w:r>
      <w:r w:rsidRPr="00EF0E92">
        <w:rPr>
          <w:lang w:val="fr-FR"/>
        </w:rPr>
        <w:t>.  Le requérant demande également 2 266,81 EUR pour les frais et dépens engagés devant la Cour.</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71</w:t>
      </w:r>
      <w:r w:rsidRPr="00EF0E92">
        <w:rPr>
          <w:lang w:val="fr-FR"/>
        </w:rPr>
        <w:fldChar w:fldCharType="end"/>
      </w:r>
      <w:r w:rsidRPr="00EF0E92">
        <w:rPr>
          <w:lang w:val="fr-FR"/>
        </w:rPr>
        <w:t>.  Le Gouvernement conteste ce montant.</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72</w:t>
      </w:r>
      <w:r w:rsidRPr="00EF0E92">
        <w:rPr>
          <w:lang w:val="fr-FR"/>
        </w:rPr>
        <w:fldChar w:fldCharType="end"/>
      </w:r>
      <w:r w:rsidRPr="00EF0E92">
        <w:rPr>
          <w:lang w:val="fr-FR"/>
        </w:rPr>
        <w:t>.  Selon la jurisprudence de la Cour, un requérant ne peut obtenir le remboursement de ses frais et dépens que dans la mesure où se trouvent établis leur réalité, leur nécessité et le caractère raisonnable de leur taux. En l</w:t>
      </w:r>
      <w:r w:rsidR="00EF0E92" w:rsidRPr="00EF0E92">
        <w:rPr>
          <w:lang w:val="fr-FR"/>
        </w:rPr>
        <w:t>’</w:t>
      </w:r>
      <w:r w:rsidRPr="00EF0E92">
        <w:rPr>
          <w:lang w:val="fr-FR"/>
        </w:rPr>
        <w:t>espèce, compte tenu des documents dont elle dispose et de sa jurisprudence, la Cour estime raisonnable d</w:t>
      </w:r>
      <w:r w:rsidR="00EF0E92" w:rsidRPr="00EF0E92">
        <w:rPr>
          <w:lang w:val="fr-FR"/>
        </w:rPr>
        <w:t>’</w:t>
      </w:r>
      <w:r w:rsidRPr="00EF0E92">
        <w:rPr>
          <w:lang w:val="fr-FR"/>
        </w:rPr>
        <w:t>allouer au requérant l</w:t>
      </w:r>
      <w:r w:rsidR="00EF0E92" w:rsidRPr="00EF0E92">
        <w:rPr>
          <w:lang w:val="fr-FR"/>
        </w:rPr>
        <w:t>’</w:t>
      </w:r>
      <w:r w:rsidRPr="00EF0E92">
        <w:rPr>
          <w:lang w:val="fr-FR"/>
        </w:rPr>
        <w:t>intégralité du montant réclamé.</w:t>
      </w:r>
    </w:p>
    <w:p w:rsidR="00737889" w:rsidRPr="00EF0E92" w:rsidRDefault="00737889" w:rsidP="00EF0E92">
      <w:pPr>
        <w:pStyle w:val="ECHRHeading2"/>
        <w:rPr>
          <w:lang w:val="fr-FR"/>
        </w:rPr>
      </w:pPr>
      <w:r w:rsidRPr="00EF0E92">
        <w:rPr>
          <w:lang w:val="fr-FR"/>
        </w:rPr>
        <w:t>C.  Intérêts moratoires</w:t>
      </w:r>
    </w:p>
    <w:p w:rsidR="00737889" w:rsidRPr="00EF0E92" w:rsidRDefault="00737889" w:rsidP="00EF0E92">
      <w:pPr>
        <w:pStyle w:val="ECHRPara"/>
        <w:rPr>
          <w:lang w:val="fr-FR"/>
        </w:rPr>
      </w:pPr>
      <w:r w:rsidRPr="00EF0E92">
        <w:rPr>
          <w:lang w:val="fr-FR"/>
        </w:rPr>
        <w:fldChar w:fldCharType="begin"/>
      </w:r>
      <w:r w:rsidRPr="00EF0E92">
        <w:rPr>
          <w:lang w:val="fr-FR"/>
        </w:rPr>
        <w:instrText xml:space="preserve"> SEQ level0 \*arabic </w:instrText>
      </w:r>
      <w:r w:rsidRPr="00EF0E92">
        <w:rPr>
          <w:lang w:val="fr-FR"/>
        </w:rPr>
        <w:fldChar w:fldCharType="separate"/>
      </w:r>
      <w:r w:rsidR="00EF0E92" w:rsidRPr="00EF0E92">
        <w:rPr>
          <w:noProof/>
          <w:lang w:val="fr-FR"/>
        </w:rPr>
        <w:t>73</w:t>
      </w:r>
      <w:r w:rsidRPr="00EF0E92">
        <w:rPr>
          <w:lang w:val="fr-FR"/>
        </w:rPr>
        <w:fldChar w:fldCharType="end"/>
      </w:r>
      <w:r w:rsidRPr="00EF0E92">
        <w:rPr>
          <w:lang w:val="fr-FR"/>
        </w:rPr>
        <w:t>.  La Cour juge approprié de calquer le taux des intérêts moratoires sur le taux d</w:t>
      </w:r>
      <w:r w:rsidR="00EF0E92" w:rsidRPr="00EF0E92">
        <w:rPr>
          <w:lang w:val="fr-FR"/>
        </w:rPr>
        <w:t>’</w:t>
      </w:r>
      <w:r w:rsidRPr="00EF0E92">
        <w:rPr>
          <w:lang w:val="fr-FR"/>
        </w:rPr>
        <w:t>intérêt de la facilité de prêt marginal de la Banque centrale européenne majoré de trois points de pourcentage.</w:t>
      </w:r>
    </w:p>
    <w:p w:rsidR="00737889" w:rsidRPr="00EF0E92" w:rsidRDefault="009F13D7" w:rsidP="00EF0E92">
      <w:pPr>
        <w:pStyle w:val="ECHRTitle1"/>
        <w:rPr>
          <w:lang w:val="fr-FR"/>
        </w:rPr>
      </w:pPr>
      <w:r w:rsidRPr="00EF0E92">
        <w:rPr>
          <w:lang w:val="fr-FR"/>
        </w:rPr>
        <w:lastRenderedPageBreak/>
        <w:t>PAR CES MOTIFS, LA COUR</w:t>
      </w:r>
      <w:r w:rsidR="00737889" w:rsidRPr="00EF0E92">
        <w:rPr>
          <w:lang w:val="fr-FR"/>
        </w:rPr>
        <w:t>, À L</w:t>
      </w:r>
      <w:r w:rsidR="00EF0E92" w:rsidRPr="00EF0E92">
        <w:rPr>
          <w:lang w:val="fr-FR"/>
        </w:rPr>
        <w:t>’</w:t>
      </w:r>
      <w:r w:rsidRPr="00EF0E92">
        <w:rPr>
          <w:lang w:val="fr-FR"/>
        </w:rPr>
        <w:t>UNANIMITÉ,</w:t>
      </w:r>
    </w:p>
    <w:p w:rsidR="00737889" w:rsidRPr="00EF0E92" w:rsidRDefault="00737889" w:rsidP="00EF0E92">
      <w:pPr>
        <w:pStyle w:val="JuList"/>
        <w:rPr>
          <w:lang w:val="fr-FR"/>
        </w:rPr>
      </w:pPr>
      <w:r w:rsidRPr="00EF0E92">
        <w:rPr>
          <w:lang w:val="fr-FR"/>
        </w:rPr>
        <w:t>1.  </w:t>
      </w:r>
      <w:r w:rsidRPr="00EF0E92">
        <w:rPr>
          <w:i/>
          <w:lang w:val="fr-FR"/>
        </w:rPr>
        <w:t>Déclare</w:t>
      </w:r>
      <w:r w:rsidRPr="00EF0E92">
        <w:rPr>
          <w:lang w:val="fr-FR"/>
        </w:rPr>
        <w:t xml:space="preserve"> la requête recevable ;</w:t>
      </w:r>
    </w:p>
    <w:p w:rsidR="00737889" w:rsidRPr="00EF0E92" w:rsidRDefault="00737889" w:rsidP="00EF0E92">
      <w:pPr>
        <w:pStyle w:val="JuList"/>
        <w:rPr>
          <w:lang w:val="fr-FR"/>
        </w:rPr>
      </w:pPr>
    </w:p>
    <w:p w:rsidR="00737889" w:rsidRPr="00EF0E92" w:rsidRDefault="00737889" w:rsidP="00EF0E92">
      <w:pPr>
        <w:pStyle w:val="JuList"/>
        <w:rPr>
          <w:lang w:val="fr-FR"/>
        </w:rPr>
      </w:pPr>
      <w:r w:rsidRPr="00EF0E92">
        <w:rPr>
          <w:lang w:val="fr-FR"/>
        </w:rPr>
        <w:t>2.  </w:t>
      </w:r>
      <w:r w:rsidRPr="00EF0E92">
        <w:rPr>
          <w:i/>
          <w:lang w:val="fr-FR"/>
        </w:rPr>
        <w:t>Dit</w:t>
      </w:r>
      <w:r w:rsidRPr="00EF0E92">
        <w:rPr>
          <w:lang w:val="fr-FR"/>
        </w:rPr>
        <w:t xml:space="preserve"> qu</w:t>
      </w:r>
      <w:r w:rsidR="00EF0E92" w:rsidRPr="00EF0E92">
        <w:rPr>
          <w:lang w:val="fr-FR"/>
        </w:rPr>
        <w:t>’</w:t>
      </w:r>
      <w:r w:rsidRPr="00EF0E92">
        <w:rPr>
          <w:lang w:val="fr-FR"/>
        </w:rPr>
        <w:t>il y a eu violation de l</w:t>
      </w:r>
      <w:r w:rsidR="00EF0E92" w:rsidRPr="00EF0E92">
        <w:rPr>
          <w:lang w:val="fr-FR"/>
        </w:rPr>
        <w:t>’</w:t>
      </w:r>
      <w:r w:rsidRPr="00EF0E92">
        <w:rPr>
          <w:lang w:val="fr-FR"/>
        </w:rPr>
        <w:t>article 8 de la Convention ;</w:t>
      </w:r>
    </w:p>
    <w:p w:rsidR="00737889" w:rsidRPr="00EF0E92" w:rsidRDefault="00737889" w:rsidP="00EF0E92">
      <w:pPr>
        <w:pStyle w:val="JuList"/>
        <w:rPr>
          <w:lang w:val="fr-FR"/>
        </w:rPr>
      </w:pPr>
    </w:p>
    <w:p w:rsidR="00EF0E92" w:rsidRPr="00EF0E92" w:rsidRDefault="00737889" w:rsidP="00EF0E92">
      <w:pPr>
        <w:pStyle w:val="JuList"/>
        <w:rPr>
          <w:lang w:val="fr-FR"/>
        </w:rPr>
      </w:pPr>
      <w:r w:rsidRPr="00EF0E92">
        <w:rPr>
          <w:lang w:val="fr-FR"/>
        </w:rPr>
        <w:t>3.  </w:t>
      </w:r>
      <w:r w:rsidRPr="00EF0E92">
        <w:rPr>
          <w:i/>
          <w:lang w:val="fr-FR"/>
        </w:rPr>
        <w:t>Dit</w:t>
      </w:r>
    </w:p>
    <w:p w:rsidR="00737889" w:rsidRPr="00EF0E92" w:rsidRDefault="00737889" w:rsidP="00EF0E92">
      <w:pPr>
        <w:pStyle w:val="JuLista"/>
        <w:rPr>
          <w:lang w:val="fr-FR"/>
        </w:rPr>
      </w:pPr>
      <w:r w:rsidRPr="00EF0E92">
        <w:rPr>
          <w:lang w:val="fr-FR"/>
        </w:rPr>
        <w:t>a)  que l</w:t>
      </w:r>
      <w:r w:rsidR="00EF0E92" w:rsidRPr="00EF0E92">
        <w:rPr>
          <w:lang w:val="fr-FR"/>
        </w:rPr>
        <w:t>’</w:t>
      </w:r>
      <w:r w:rsidRPr="00EF0E92">
        <w:rPr>
          <w:lang w:val="fr-FR"/>
        </w:rPr>
        <w:t>État défendeur doit verser au requérant, dans les trois mois à compter du jour où l</w:t>
      </w:r>
      <w:r w:rsidR="00EF0E92" w:rsidRPr="00EF0E92">
        <w:rPr>
          <w:lang w:val="fr-FR"/>
        </w:rPr>
        <w:t>’</w:t>
      </w:r>
      <w:r w:rsidRPr="00EF0E92">
        <w:rPr>
          <w:lang w:val="fr-FR"/>
        </w:rPr>
        <w:t>arrêt sera devenu définitif conformément à l</w:t>
      </w:r>
      <w:r w:rsidR="00EF0E92" w:rsidRPr="00EF0E92">
        <w:rPr>
          <w:lang w:val="fr-FR"/>
        </w:rPr>
        <w:t>’</w:t>
      </w:r>
      <w:r w:rsidRPr="00EF0E92">
        <w:rPr>
          <w:lang w:val="fr-FR"/>
        </w:rPr>
        <w:t>article 44 § 2 de la Convention, les sommes suivantes :</w:t>
      </w:r>
    </w:p>
    <w:p w:rsidR="00737889" w:rsidRPr="00EF0E92" w:rsidRDefault="00737889" w:rsidP="00EF0E92">
      <w:pPr>
        <w:pStyle w:val="JuListi"/>
        <w:rPr>
          <w:lang w:val="fr-FR" w:eastAsia="en-GB"/>
        </w:rPr>
      </w:pPr>
      <w:r w:rsidRPr="00EF0E92">
        <w:rPr>
          <w:lang w:val="fr-FR" w:eastAsia="en-GB"/>
        </w:rPr>
        <w:t>i.  15 000 EUR (quinze mille euros), plus tout montant pouvant être dû à titre d</w:t>
      </w:r>
      <w:r w:rsidR="00EF0E92" w:rsidRPr="00EF0E92">
        <w:rPr>
          <w:lang w:val="fr-FR" w:eastAsia="en-GB"/>
        </w:rPr>
        <w:t>’</w:t>
      </w:r>
      <w:r w:rsidRPr="00EF0E92">
        <w:rPr>
          <w:lang w:val="fr-FR" w:eastAsia="en-GB"/>
        </w:rPr>
        <w:t>impôt, pour dommage moral</w:t>
      </w:r>
      <w:r w:rsidR="009F13D7" w:rsidRPr="00EF0E92">
        <w:rPr>
          <w:lang w:val="fr-FR" w:eastAsia="en-GB"/>
        </w:rPr>
        <w:t> ;</w:t>
      </w:r>
    </w:p>
    <w:p w:rsidR="00737889" w:rsidRPr="00EF0E92" w:rsidRDefault="00737889" w:rsidP="00EF0E92">
      <w:pPr>
        <w:pStyle w:val="JuListi"/>
        <w:rPr>
          <w:lang w:val="fr-FR" w:eastAsia="en-GB"/>
        </w:rPr>
      </w:pPr>
      <w:r w:rsidRPr="00EF0E92">
        <w:rPr>
          <w:lang w:val="fr-FR" w:eastAsia="en-GB"/>
        </w:rPr>
        <w:t xml:space="preserve">ii.  2 266,81 EUR (deux mille deux cent soixante-six euros et quatre-vingt-un centimes), plus tout montant pouvant être dû par </w:t>
      </w:r>
      <w:r w:rsidRPr="00EF0E92">
        <w:rPr>
          <w:lang w:val="fr-FR"/>
        </w:rPr>
        <w:t>le requérant</w:t>
      </w:r>
      <w:r w:rsidRPr="00EF0E92">
        <w:rPr>
          <w:lang w:val="fr-FR" w:eastAsia="en-GB"/>
        </w:rPr>
        <w:t xml:space="preserve"> à titre d</w:t>
      </w:r>
      <w:r w:rsidR="00EF0E92" w:rsidRPr="00EF0E92">
        <w:rPr>
          <w:lang w:val="fr-FR" w:eastAsia="en-GB"/>
        </w:rPr>
        <w:t>’</w:t>
      </w:r>
      <w:r w:rsidRPr="00EF0E92">
        <w:rPr>
          <w:lang w:val="fr-FR" w:eastAsia="en-GB"/>
        </w:rPr>
        <w:t>impôt, pour frais et dépens ;</w:t>
      </w:r>
    </w:p>
    <w:p w:rsidR="00737889" w:rsidRPr="00EF0E92" w:rsidRDefault="00737889" w:rsidP="00EF0E92">
      <w:pPr>
        <w:pStyle w:val="JuLista"/>
        <w:rPr>
          <w:lang w:val="fr-FR"/>
        </w:rPr>
      </w:pPr>
      <w:r w:rsidRPr="00EF0E92">
        <w:rPr>
          <w:lang w:val="fr-FR"/>
        </w:rPr>
        <w:t>b)  qu</w:t>
      </w:r>
      <w:r w:rsidR="00EF0E92" w:rsidRPr="00EF0E92">
        <w:rPr>
          <w:lang w:val="fr-FR"/>
        </w:rPr>
        <w:t>’</w:t>
      </w:r>
      <w:r w:rsidRPr="00EF0E92">
        <w:rPr>
          <w:lang w:val="fr-FR"/>
        </w:rPr>
        <w:t>à compter de l</w:t>
      </w:r>
      <w:r w:rsidR="00EF0E92" w:rsidRPr="00EF0E92">
        <w:rPr>
          <w:lang w:val="fr-FR"/>
        </w:rPr>
        <w:t>’</w:t>
      </w:r>
      <w:r w:rsidRPr="00EF0E92">
        <w:rPr>
          <w:lang w:val="fr-FR"/>
        </w:rPr>
        <w:t>expiration dudit délai et jusqu</w:t>
      </w:r>
      <w:r w:rsidR="00EF0E92" w:rsidRPr="00EF0E92">
        <w:rPr>
          <w:lang w:val="fr-FR"/>
        </w:rPr>
        <w:t>’</w:t>
      </w:r>
      <w:r w:rsidRPr="00EF0E92">
        <w:rPr>
          <w:lang w:val="fr-FR"/>
        </w:rPr>
        <w:t>au versement, ces montants seront à majorer d</w:t>
      </w:r>
      <w:r w:rsidR="00EF0E92" w:rsidRPr="00EF0E92">
        <w:rPr>
          <w:lang w:val="fr-FR"/>
        </w:rPr>
        <w:t>’</w:t>
      </w:r>
      <w:r w:rsidRPr="00EF0E92">
        <w:rPr>
          <w:lang w:val="fr-FR"/>
        </w:rPr>
        <w:t>un intérêt simple à un taux égal à celui de la facilité de prêt marginal de la Banque centrale européenne applicable pendant cette période, augmenté de trois points de pourcentage ;</w:t>
      </w:r>
    </w:p>
    <w:p w:rsidR="00737889" w:rsidRPr="00EF0E92" w:rsidRDefault="00737889" w:rsidP="00EF0E92">
      <w:pPr>
        <w:pStyle w:val="JuList"/>
        <w:rPr>
          <w:lang w:val="fr-FR"/>
        </w:rPr>
      </w:pPr>
    </w:p>
    <w:p w:rsidR="00737889" w:rsidRPr="00EF0E92" w:rsidRDefault="00737889" w:rsidP="00EF0E92">
      <w:pPr>
        <w:pStyle w:val="JuList"/>
        <w:rPr>
          <w:lang w:val="fr-FR"/>
        </w:rPr>
      </w:pPr>
      <w:r w:rsidRPr="00EF0E92">
        <w:rPr>
          <w:lang w:val="fr-FR"/>
        </w:rPr>
        <w:t>4.  </w:t>
      </w:r>
      <w:r w:rsidRPr="00EF0E92">
        <w:rPr>
          <w:i/>
          <w:lang w:val="fr-FR"/>
        </w:rPr>
        <w:t>Rejette</w:t>
      </w:r>
      <w:r w:rsidRPr="00EF0E92">
        <w:rPr>
          <w:lang w:val="fr-FR"/>
        </w:rPr>
        <w:t xml:space="preserve"> la demande de satisfaction équitable pour le surplus.</w:t>
      </w:r>
    </w:p>
    <w:p w:rsidR="00737889" w:rsidRPr="00EF0E92" w:rsidRDefault="00737889" w:rsidP="00EF0E92">
      <w:pPr>
        <w:pStyle w:val="JuParaLast"/>
        <w:rPr>
          <w:lang w:val="fr-FR"/>
        </w:rPr>
      </w:pPr>
      <w:r w:rsidRPr="00EF0E92">
        <w:rPr>
          <w:lang w:val="fr-FR"/>
        </w:rPr>
        <w:t>Fait en français, puis communiqué par écrit le</w:t>
      </w:r>
      <w:r w:rsidR="00AC0EC0" w:rsidRPr="00EF0E92">
        <w:rPr>
          <w:lang w:val="fr-FR"/>
        </w:rPr>
        <w:t xml:space="preserve"> </w:t>
      </w:r>
      <w:r w:rsidR="009F13D7" w:rsidRPr="00EF0E92">
        <w:rPr>
          <w:lang w:val="fr-FR"/>
        </w:rPr>
        <w:t>23 mars 2017</w:t>
      </w:r>
      <w:r w:rsidRPr="00EF0E92">
        <w:rPr>
          <w:lang w:val="fr-FR"/>
        </w:rPr>
        <w:t>, en application de l</w:t>
      </w:r>
      <w:r w:rsidR="00EF0E92" w:rsidRPr="00EF0E92">
        <w:rPr>
          <w:lang w:val="fr-FR"/>
        </w:rPr>
        <w:t>’</w:t>
      </w:r>
      <w:r w:rsidRPr="00EF0E92">
        <w:rPr>
          <w:lang w:val="fr-FR"/>
        </w:rPr>
        <w:t>article 77 §§ 2 et 3 du règlement de la Cour.</w:t>
      </w:r>
    </w:p>
    <w:p w:rsidR="008F41EB" w:rsidRPr="00EF0E92" w:rsidRDefault="008F41EB" w:rsidP="00EF0E92">
      <w:pPr>
        <w:pStyle w:val="JuSigned"/>
        <w:tabs>
          <w:tab w:val="center" w:pos="5529"/>
        </w:tabs>
        <w:rPr>
          <w:lang w:val="fr-FR"/>
        </w:rPr>
      </w:pPr>
      <w:r w:rsidRPr="00EF0E92">
        <w:rPr>
          <w:lang w:val="fr-FR"/>
        </w:rPr>
        <w:tab/>
        <w:t>Abel Campos</w:t>
      </w:r>
      <w:r w:rsidRPr="00EF0E92">
        <w:rPr>
          <w:lang w:val="fr-FR"/>
        </w:rPr>
        <w:tab/>
        <w:t>Linos-Alexandre Sicilianos</w:t>
      </w:r>
      <w:r w:rsidRPr="00EF0E92">
        <w:rPr>
          <w:lang w:val="fr-FR"/>
        </w:rPr>
        <w:br/>
      </w:r>
      <w:r w:rsidRPr="00EF0E92">
        <w:rPr>
          <w:lang w:val="fr-FR"/>
        </w:rPr>
        <w:tab/>
        <w:t>Greffier</w:t>
      </w:r>
      <w:r w:rsidRPr="00EF0E92">
        <w:rPr>
          <w:lang w:val="fr-FR"/>
        </w:rPr>
        <w:tab/>
        <w:t>Président</w:t>
      </w:r>
    </w:p>
    <w:sectPr w:rsidR="008F41EB" w:rsidRPr="00EF0E92" w:rsidSect="009F13D7">
      <w:headerReference w:type="even" r:id="rId19"/>
      <w:head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1EB" w:rsidRPr="00BC47F6" w:rsidRDefault="004931EB" w:rsidP="00E77CB3">
      <w:pPr>
        <w:rPr>
          <w:lang w:val="fr-FR"/>
        </w:rPr>
      </w:pPr>
      <w:r w:rsidRPr="00BC47F6">
        <w:rPr>
          <w:lang w:val="fr-FR"/>
        </w:rPr>
        <w:separator/>
      </w:r>
    </w:p>
  </w:endnote>
  <w:endnote w:type="continuationSeparator" w:id="0">
    <w:p w:rsidR="004931EB" w:rsidRPr="00BC47F6" w:rsidRDefault="004931EB" w:rsidP="00E77CB3">
      <w:pPr>
        <w:rPr>
          <w:lang w:val="fr-FR"/>
        </w:rPr>
      </w:pPr>
      <w:r w:rsidRPr="00BC47F6">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EB" w:rsidRPr="00150BFA" w:rsidRDefault="008F41EB" w:rsidP="008F41EB">
    <w:pPr>
      <w:jc w:val="center"/>
    </w:pPr>
    <w:r>
      <w:rPr>
        <w:noProof/>
        <w:lang w:val="it-IT" w:eastAsia="it-IT"/>
      </w:rPr>
      <w:drawing>
        <wp:inline distT="0" distB="0" distL="0" distR="0" wp14:anchorId="43207B7E" wp14:editId="502E78A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F41EB" w:rsidRDefault="008F41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1EB" w:rsidRPr="00BC47F6" w:rsidRDefault="004931EB" w:rsidP="00E77CB3">
      <w:pPr>
        <w:rPr>
          <w:lang w:val="fr-FR"/>
        </w:rPr>
      </w:pPr>
      <w:r w:rsidRPr="00BC47F6">
        <w:rPr>
          <w:lang w:val="fr-FR"/>
        </w:rPr>
        <w:separator/>
      </w:r>
    </w:p>
  </w:footnote>
  <w:footnote w:type="continuationSeparator" w:id="0">
    <w:p w:rsidR="004931EB" w:rsidRPr="00BC47F6" w:rsidRDefault="004931EB" w:rsidP="00E77CB3">
      <w:pPr>
        <w:rPr>
          <w:lang w:val="fr-FR"/>
        </w:rPr>
      </w:pPr>
      <w:r w:rsidRPr="00BC47F6">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EB" w:rsidRPr="009F13D7" w:rsidRDefault="008F41EB" w:rsidP="009F13D7">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EB" w:rsidRPr="00A45145" w:rsidRDefault="008F41EB" w:rsidP="008F41EB">
    <w:pPr>
      <w:jc w:val="center"/>
    </w:pPr>
    <w:r>
      <w:rPr>
        <w:noProof/>
        <w:lang w:val="it-IT" w:eastAsia="it-IT"/>
      </w:rPr>
      <w:drawing>
        <wp:inline distT="0" distB="0" distL="0" distR="0" wp14:anchorId="4BE86CA3" wp14:editId="2E9C742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F41EB" w:rsidRDefault="008F41E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EB" w:rsidRPr="00BC47F6" w:rsidRDefault="008F41EB" w:rsidP="00C611D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FB6016">
      <w:rPr>
        <w:rStyle w:val="Numeropagina"/>
        <w:noProof/>
        <w:lang w:val="fr-FR"/>
      </w:rPr>
      <w:t>12</w:t>
    </w:r>
    <w:r>
      <w:rPr>
        <w:rStyle w:val="Numeropagina"/>
        <w:lang w:val="fr-FR"/>
      </w:rPr>
      <w:fldChar w:fldCharType="end"/>
    </w:r>
    <w:r w:rsidRPr="00BC47F6">
      <w:rPr>
        <w:rStyle w:val="Numeropagina"/>
        <w:lang w:val="fr-FR"/>
      </w:rPr>
      <w:tab/>
    </w:r>
    <w:r>
      <w:rPr>
        <w:noProof/>
        <w:lang w:val="fr-FR"/>
      </w:rPr>
      <w:t>ARRÊT</w:t>
    </w:r>
    <w:r w:rsidRPr="00BC47F6">
      <w:rPr>
        <w:lang w:val="fr-FR"/>
      </w:rPr>
      <w:t xml:space="preserve"> </w:t>
    </w:r>
    <w:r>
      <w:rPr>
        <w:lang w:val="fr-FR"/>
      </w:rPr>
      <w:t>ENDRIZZI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1EB" w:rsidRPr="00BC47F6" w:rsidRDefault="008F41EB" w:rsidP="00C63990">
    <w:pPr>
      <w:pStyle w:val="ECHRHeader"/>
      <w:rPr>
        <w:lang w:val="fr-FR"/>
      </w:rPr>
    </w:pPr>
    <w:r w:rsidRPr="00BC47F6">
      <w:rPr>
        <w:lang w:val="fr-FR"/>
      </w:rPr>
      <w:tab/>
    </w:r>
    <w:r>
      <w:rPr>
        <w:noProof/>
        <w:lang w:val="fr-FR"/>
      </w:rPr>
      <w:t>ARRÊT</w:t>
    </w:r>
    <w:r w:rsidRPr="00BC47F6">
      <w:rPr>
        <w:lang w:val="fr-FR"/>
      </w:rPr>
      <w:t xml:space="preserve"> </w:t>
    </w:r>
    <w:r>
      <w:rPr>
        <w:lang w:val="fr-FR"/>
      </w:rPr>
      <w:t>ENDRIZZI c. ITALIE</w:t>
    </w:r>
    <w:r w:rsidRPr="00BC47F6">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FB6016">
      <w:rPr>
        <w:rStyle w:val="Numeropagina"/>
        <w:noProof/>
        <w:lang w:val="fr-FR"/>
      </w:rPr>
      <w:t>11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737889"/>
    <w:rsid w:val="000041F8"/>
    <w:rsid w:val="000042A8"/>
    <w:rsid w:val="00004308"/>
    <w:rsid w:val="00005BF0"/>
    <w:rsid w:val="00007154"/>
    <w:rsid w:val="000103AE"/>
    <w:rsid w:val="00011D69"/>
    <w:rsid w:val="00012AD3"/>
    <w:rsid w:val="00015C2D"/>
    <w:rsid w:val="00015F00"/>
    <w:rsid w:val="00022C1D"/>
    <w:rsid w:val="00031347"/>
    <w:rsid w:val="00034987"/>
    <w:rsid w:val="00041598"/>
    <w:rsid w:val="00043A74"/>
    <w:rsid w:val="000602DF"/>
    <w:rsid w:val="00061B05"/>
    <w:rsid w:val="000632D5"/>
    <w:rsid w:val="000644EE"/>
    <w:rsid w:val="00066A71"/>
    <w:rsid w:val="000925AD"/>
    <w:rsid w:val="000A24EB"/>
    <w:rsid w:val="000B6923"/>
    <w:rsid w:val="000C5F3C"/>
    <w:rsid w:val="000C6DCC"/>
    <w:rsid w:val="000D47AA"/>
    <w:rsid w:val="000D721F"/>
    <w:rsid w:val="000E069B"/>
    <w:rsid w:val="000E09A4"/>
    <w:rsid w:val="000E0E82"/>
    <w:rsid w:val="000E1DC5"/>
    <w:rsid w:val="000E223F"/>
    <w:rsid w:val="000E7D45"/>
    <w:rsid w:val="000F00EF"/>
    <w:rsid w:val="000F7851"/>
    <w:rsid w:val="00104E23"/>
    <w:rsid w:val="00111B0C"/>
    <w:rsid w:val="00120D6C"/>
    <w:rsid w:val="001257EC"/>
    <w:rsid w:val="00132695"/>
    <w:rsid w:val="00133D33"/>
    <w:rsid w:val="00134D64"/>
    <w:rsid w:val="00135A30"/>
    <w:rsid w:val="0013612C"/>
    <w:rsid w:val="00137FF6"/>
    <w:rsid w:val="00141650"/>
    <w:rsid w:val="00147F07"/>
    <w:rsid w:val="001516A3"/>
    <w:rsid w:val="0016174F"/>
    <w:rsid w:val="001619D7"/>
    <w:rsid w:val="00162A12"/>
    <w:rsid w:val="00166530"/>
    <w:rsid w:val="001832BD"/>
    <w:rsid w:val="001943B5"/>
    <w:rsid w:val="00195134"/>
    <w:rsid w:val="001A145B"/>
    <w:rsid w:val="001A674C"/>
    <w:rsid w:val="001B3B24"/>
    <w:rsid w:val="001C0F98"/>
    <w:rsid w:val="001C2A42"/>
    <w:rsid w:val="001C41FA"/>
    <w:rsid w:val="001D63ED"/>
    <w:rsid w:val="001D7348"/>
    <w:rsid w:val="001E035B"/>
    <w:rsid w:val="001E0961"/>
    <w:rsid w:val="001E3EAE"/>
    <w:rsid w:val="001E6F32"/>
    <w:rsid w:val="001F2145"/>
    <w:rsid w:val="001F4E43"/>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1379"/>
    <w:rsid w:val="002948AD"/>
    <w:rsid w:val="002A01CC"/>
    <w:rsid w:val="002A61B1"/>
    <w:rsid w:val="002A663C"/>
    <w:rsid w:val="002B444B"/>
    <w:rsid w:val="002B5887"/>
    <w:rsid w:val="002C0E27"/>
    <w:rsid w:val="002C3040"/>
    <w:rsid w:val="002D022D"/>
    <w:rsid w:val="002D23B6"/>
    <w:rsid w:val="002D24BB"/>
    <w:rsid w:val="002E02CB"/>
    <w:rsid w:val="002F2AF7"/>
    <w:rsid w:val="002F7BC2"/>
    <w:rsid w:val="002F7E1C"/>
    <w:rsid w:val="00301A75"/>
    <w:rsid w:val="00302F70"/>
    <w:rsid w:val="0030336F"/>
    <w:rsid w:val="0030375E"/>
    <w:rsid w:val="00312A30"/>
    <w:rsid w:val="00320F72"/>
    <w:rsid w:val="0032463E"/>
    <w:rsid w:val="00326224"/>
    <w:rsid w:val="00337EE4"/>
    <w:rsid w:val="00340FFD"/>
    <w:rsid w:val="003506B1"/>
    <w:rsid w:val="00354F8C"/>
    <w:rsid w:val="00356AC7"/>
    <w:rsid w:val="003609FA"/>
    <w:rsid w:val="003710C8"/>
    <w:rsid w:val="003750BE"/>
    <w:rsid w:val="00387B9D"/>
    <w:rsid w:val="0039364F"/>
    <w:rsid w:val="00396686"/>
    <w:rsid w:val="0039778E"/>
    <w:rsid w:val="003B2814"/>
    <w:rsid w:val="003B4941"/>
    <w:rsid w:val="003C5714"/>
    <w:rsid w:val="003C6B9F"/>
    <w:rsid w:val="003C6E2A"/>
    <w:rsid w:val="003D0299"/>
    <w:rsid w:val="003E6D80"/>
    <w:rsid w:val="003F05FA"/>
    <w:rsid w:val="003F244A"/>
    <w:rsid w:val="003F30B8"/>
    <w:rsid w:val="003F4C45"/>
    <w:rsid w:val="003F4F06"/>
    <w:rsid w:val="003F5F7B"/>
    <w:rsid w:val="003F7D64"/>
    <w:rsid w:val="004118D3"/>
    <w:rsid w:val="00414300"/>
    <w:rsid w:val="004147EA"/>
    <w:rsid w:val="00422691"/>
    <w:rsid w:val="00425C67"/>
    <w:rsid w:val="00427E7A"/>
    <w:rsid w:val="00434EC4"/>
    <w:rsid w:val="00436C49"/>
    <w:rsid w:val="00445366"/>
    <w:rsid w:val="00447F5B"/>
    <w:rsid w:val="0045067D"/>
    <w:rsid w:val="00461DB0"/>
    <w:rsid w:val="00463926"/>
    <w:rsid w:val="00464C9A"/>
    <w:rsid w:val="004741F5"/>
    <w:rsid w:val="00474F3D"/>
    <w:rsid w:val="00477E3A"/>
    <w:rsid w:val="00483E5F"/>
    <w:rsid w:val="00485FF9"/>
    <w:rsid w:val="004907F0"/>
    <w:rsid w:val="0049140B"/>
    <w:rsid w:val="004923A5"/>
    <w:rsid w:val="004931EB"/>
    <w:rsid w:val="00496BFB"/>
    <w:rsid w:val="004A15C7"/>
    <w:rsid w:val="004B013B"/>
    <w:rsid w:val="004B112B"/>
    <w:rsid w:val="004C01E4"/>
    <w:rsid w:val="004C086C"/>
    <w:rsid w:val="004C1F56"/>
    <w:rsid w:val="004C27BC"/>
    <w:rsid w:val="004D15F3"/>
    <w:rsid w:val="004D5089"/>
    <w:rsid w:val="004D5311"/>
    <w:rsid w:val="004D5DCC"/>
    <w:rsid w:val="004F10AF"/>
    <w:rsid w:val="004F11A4"/>
    <w:rsid w:val="004F2389"/>
    <w:rsid w:val="004F2979"/>
    <w:rsid w:val="004F304D"/>
    <w:rsid w:val="004F61BE"/>
    <w:rsid w:val="004F66B1"/>
    <w:rsid w:val="00511842"/>
    <w:rsid w:val="00511C07"/>
    <w:rsid w:val="005173A6"/>
    <w:rsid w:val="00520BAA"/>
    <w:rsid w:val="00525208"/>
    <w:rsid w:val="005257A5"/>
    <w:rsid w:val="005264C0"/>
    <w:rsid w:val="00526A8A"/>
    <w:rsid w:val="00531DF2"/>
    <w:rsid w:val="005427F8"/>
    <w:rsid w:val="00542FC2"/>
    <w:rsid w:val="005442EE"/>
    <w:rsid w:val="00547353"/>
    <w:rsid w:val="005474E7"/>
    <w:rsid w:val="005512A3"/>
    <w:rsid w:val="005578CE"/>
    <w:rsid w:val="00562781"/>
    <w:rsid w:val="0057271C"/>
    <w:rsid w:val="00572845"/>
    <w:rsid w:val="00574C83"/>
    <w:rsid w:val="00592772"/>
    <w:rsid w:val="0059574A"/>
    <w:rsid w:val="00596468"/>
    <w:rsid w:val="005A02CB"/>
    <w:rsid w:val="005A1B9B"/>
    <w:rsid w:val="005A52D7"/>
    <w:rsid w:val="005A6751"/>
    <w:rsid w:val="005B092E"/>
    <w:rsid w:val="005B152C"/>
    <w:rsid w:val="005B1EE0"/>
    <w:rsid w:val="005B2B24"/>
    <w:rsid w:val="005B4425"/>
    <w:rsid w:val="005B4B94"/>
    <w:rsid w:val="005C3EE8"/>
    <w:rsid w:val="005D34F9"/>
    <w:rsid w:val="005D4190"/>
    <w:rsid w:val="005D67A3"/>
    <w:rsid w:val="005E2988"/>
    <w:rsid w:val="005E3085"/>
    <w:rsid w:val="005E37C6"/>
    <w:rsid w:val="005F51E1"/>
    <w:rsid w:val="00611C80"/>
    <w:rsid w:val="00620692"/>
    <w:rsid w:val="006242CA"/>
    <w:rsid w:val="00627507"/>
    <w:rsid w:val="00633717"/>
    <w:rsid w:val="006344E1"/>
    <w:rsid w:val="00644EC5"/>
    <w:rsid w:val="0065298D"/>
    <w:rsid w:val="006545C4"/>
    <w:rsid w:val="00661971"/>
    <w:rsid w:val="00661CE8"/>
    <w:rsid w:val="006623D9"/>
    <w:rsid w:val="0066550C"/>
    <w:rsid w:val="00667B26"/>
    <w:rsid w:val="006716F2"/>
    <w:rsid w:val="00682BF2"/>
    <w:rsid w:val="006859CE"/>
    <w:rsid w:val="00691270"/>
    <w:rsid w:val="00694A2E"/>
    <w:rsid w:val="00694BA8"/>
    <w:rsid w:val="006A037C"/>
    <w:rsid w:val="006A36F4"/>
    <w:rsid w:val="006A406F"/>
    <w:rsid w:val="006A5D3A"/>
    <w:rsid w:val="006C1BCB"/>
    <w:rsid w:val="006C23D4"/>
    <w:rsid w:val="006C2EDA"/>
    <w:rsid w:val="006C64BE"/>
    <w:rsid w:val="006C7BB0"/>
    <w:rsid w:val="006D3237"/>
    <w:rsid w:val="006E2E37"/>
    <w:rsid w:val="006E3CF1"/>
    <w:rsid w:val="006E5E0B"/>
    <w:rsid w:val="006E7E80"/>
    <w:rsid w:val="006F48CA"/>
    <w:rsid w:val="006F64DD"/>
    <w:rsid w:val="00711B9F"/>
    <w:rsid w:val="00715127"/>
    <w:rsid w:val="00715E8E"/>
    <w:rsid w:val="00720EA3"/>
    <w:rsid w:val="00723580"/>
    <w:rsid w:val="00723755"/>
    <w:rsid w:val="0073136C"/>
    <w:rsid w:val="00731F0F"/>
    <w:rsid w:val="00733250"/>
    <w:rsid w:val="00737889"/>
    <w:rsid w:val="00741404"/>
    <w:rsid w:val="00743E71"/>
    <w:rsid w:val="007449E5"/>
    <w:rsid w:val="00747FF0"/>
    <w:rsid w:val="00762E4F"/>
    <w:rsid w:val="00764D4E"/>
    <w:rsid w:val="00765A1F"/>
    <w:rsid w:val="00775B6D"/>
    <w:rsid w:val="00776D68"/>
    <w:rsid w:val="007850EE"/>
    <w:rsid w:val="00785B95"/>
    <w:rsid w:val="00790E96"/>
    <w:rsid w:val="00793366"/>
    <w:rsid w:val="007952DA"/>
    <w:rsid w:val="007A716F"/>
    <w:rsid w:val="007B270A"/>
    <w:rsid w:val="007B4B56"/>
    <w:rsid w:val="007C0695"/>
    <w:rsid w:val="007C419A"/>
    <w:rsid w:val="007C4CC8"/>
    <w:rsid w:val="007C5426"/>
    <w:rsid w:val="007C5798"/>
    <w:rsid w:val="007D4832"/>
    <w:rsid w:val="007E21B2"/>
    <w:rsid w:val="007E2C4E"/>
    <w:rsid w:val="007E3ED4"/>
    <w:rsid w:val="007E48C2"/>
    <w:rsid w:val="007F1905"/>
    <w:rsid w:val="007F4F51"/>
    <w:rsid w:val="00801300"/>
    <w:rsid w:val="00802C64"/>
    <w:rsid w:val="00805E52"/>
    <w:rsid w:val="008061D0"/>
    <w:rsid w:val="00810B38"/>
    <w:rsid w:val="008204C7"/>
    <w:rsid w:val="00820992"/>
    <w:rsid w:val="00823602"/>
    <w:rsid w:val="008255F5"/>
    <w:rsid w:val="0083014E"/>
    <w:rsid w:val="0083214A"/>
    <w:rsid w:val="00834220"/>
    <w:rsid w:val="0084351A"/>
    <w:rsid w:val="00845723"/>
    <w:rsid w:val="00846085"/>
    <w:rsid w:val="00847BAC"/>
    <w:rsid w:val="00851EF9"/>
    <w:rsid w:val="008577FD"/>
    <w:rsid w:val="00860B03"/>
    <w:rsid w:val="0086497A"/>
    <w:rsid w:val="008713A1"/>
    <w:rsid w:val="008754AB"/>
    <w:rsid w:val="00875AB3"/>
    <w:rsid w:val="0088060C"/>
    <w:rsid w:val="00893576"/>
    <w:rsid w:val="00893E73"/>
    <w:rsid w:val="008B02DC"/>
    <w:rsid w:val="008B57CE"/>
    <w:rsid w:val="008C26DE"/>
    <w:rsid w:val="008D2225"/>
    <w:rsid w:val="008D4752"/>
    <w:rsid w:val="008D7298"/>
    <w:rsid w:val="008E271C"/>
    <w:rsid w:val="008E418E"/>
    <w:rsid w:val="008E5BC6"/>
    <w:rsid w:val="008E6A25"/>
    <w:rsid w:val="008F41EB"/>
    <w:rsid w:val="008F5193"/>
    <w:rsid w:val="009013A7"/>
    <w:rsid w:val="009017FB"/>
    <w:rsid w:val="009017FC"/>
    <w:rsid w:val="0090506B"/>
    <w:rsid w:val="009050C9"/>
    <w:rsid w:val="009066FC"/>
    <w:rsid w:val="009140A3"/>
    <w:rsid w:val="009144A2"/>
    <w:rsid w:val="0091510C"/>
    <w:rsid w:val="009259AC"/>
    <w:rsid w:val="00926AD5"/>
    <w:rsid w:val="00926F38"/>
    <w:rsid w:val="00934301"/>
    <w:rsid w:val="00936C2D"/>
    <w:rsid w:val="00936CD1"/>
    <w:rsid w:val="00941747"/>
    <w:rsid w:val="00941EFB"/>
    <w:rsid w:val="009431A9"/>
    <w:rsid w:val="00947AFB"/>
    <w:rsid w:val="00951D7D"/>
    <w:rsid w:val="009630C7"/>
    <w:rsid w:val="00972B55"/>
    <w:rsid w:val="009743B7"/>
    <w:rsid w:val="0098228B"/>
    <w:rsid w:val="009828DA"/>
    <w:rsid w:val="00985BAB"/>
    <w:rsid w:val="009B1B5F"/>
    <w:rsid w:val="009B6673"/>
    <w:rsid w:val="009C191B"/>
    <w:rsid w:val="009C2BD6"/>
    <w:rsid w:val="009C5881"/>
    <w:rsid w:val="009D1C24"/>
    <w:rsid w:val="009E1F32"/>
    <w:rsid w:val="009E776C"/>
    <w:rsid w:val="009F13D7"/>
    <w:rsid w:val="00A00144"/>
    <w:rsid w:val="00A1726E"/>
    <w:rsid w:val="00A204CF"/>
    <w:rsid w:val="00A23D49"/>
    <w:rsid w:val="00A27004"/>
    <w:rsid w:val="00A30C29"/>
    <w:rsid w:val="00A34DD6"/>
    <w:rsid w:val="00A36819"/>
    <w:rsid w:val="00A36989"/>
    <w:rsid w:val="00A43308"/>
    <w:rsid w:val="00A43628"/>
    <w:rsid w:val="00A54192"/>
    <w:rsid w:val="00A6035E"/>
    <w:rsid w:val="00A6144C"/>
    <w:rsid w:val="00A64194"/>
    <w:rsid w:val="00A66617"/>
    <w:rsid w:val="00A671F8"/>
    <w:rsid w:val="00A673A4"/>
    <w:rsid w:val="00A67531"/>
    <w:rsid w:val="00A724AE"/>
    <w:rsid w:val="00A73329"/>
    <w:rsid w:val="00A74BC1"/>
    <w:rsid w:val="00A82359"/>
    <w:rsid w:val="00A865D2"/>
    <w:rsid w:val="00A94C20"/>
    <w:rsid w:val="00A964EC"/>
    <w:rsid w:val="00AA227F"/>
    <w:rsid w:val="00AA3BC7"/>
    <w:rsid w:val="00AA4A93"/>
    <w:rsid w:val="00AA754A"/>
    <w:rsid w:val="00AB099E"/>
    <w:rsid w:val="00AB4328"/>
    <w:rsid w:val="00AC0824"/>
    <w:rsid w:val="00AC0EC0"/>
    <w:rsid w:val="00AC4EBF"/>
    <w:rsid w:val="00AD412E"/>
    <w:rsid w:val="00AD5330"/>
    <w:rsid w:val="00AE0A2E"/>
    <w:rsid w:val="00AE354C"/>
    <w:rsid w:val="00AF4B07"/>
    <w:rsid w:val="00AF5CC8"/>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3ECF"/>
    <w:rsid w:val="00B95187"/>
    <w:rsid w:val="00B9776F"/>
    <w:rsid w:val="00BA2D55"/>
    <w:rsid w:val="00BA71B1"/>
    <w:rsid w:val="00BB0637"/>
    <w:rsid w:val="00BB345F"/>
    <w:rsid w:val="00BB68EA"/>
    <w:rsid w:val="00BC1C27"/>
    <w:rsid w:val="00BC47F6"/>
    <w:rsid w:val="00BC4A8F"/>
    <w:rsid w:val="00BC6BBF"/>
    <w:rsid w:val="00BD0653"/>
    <w:rsid w:val="00BD1572"/>
    <w:rsid w:val="00BE14E3"/>
    <w:rsid w:val="00BE1A3E"/>
    <w:rsid w:val="00BE3774"/>
    <w:rsid w:val="00BE41E5"/>
    <w:rsid w:val="00BF4109"/>
    <w:rsid w:val="00BF4CC3"/>
    <w:rsid w:val="00C054C7"/>
    <w:rsid w:val="00C057B5"/>
    <w:rsid w:val="00C06E15"/>
    <w:rsid w:val="00C1262B"/>
    <w:rsid w:val="00C22687"/>
    <w:rsid w:val="00C24185"/>
    <w:rsid w:val="00C32E4D"/>
    <w:rsid w:val="00C333A0"/>
    <w:rsid w:val="00C36408"/>
    <w:rsid w:val="00C36A81"/>
    <w:rsid w:val="00C41974"/>
    <w:rsid w:val="00C53F4A"/>
    <w:rsid w:val="00C54125"/>
    <w:rsid w:val="00C55B54"/>
    <w:rsid w:val="00C6098E"/>
    <w:rsid w:val="00C611D8"/>
    <w:rsid w:val="00C6152C"/>
    <w:rsid w:val="00C63990"/>
    <w:rsid w:val="00C64EF6"/>
    <w:rsid w:val="00C65050"/>
    <w:rsid w:val="00C70EFB"/>
    <w:rsid w:val="00C74810"/>
    <w:rsid w:val="00C90D68"/>
    <w:rsid w:val="00C91601"/>
    <w:rsid w:val="00C939FE"/>
    <w:rsid w:val="00CA4BDA"/>
    <w:rsid w:val="00CB1F66"/>
    <w:rsid w:val="00CB2951"/>
    <w:rsid w:val="00CC3FE5"/>
    <w:rsid w:val="00CC71E6"/>
    <w:rsid w:val="00CD282B"/>
    <w:rsid w:val="00CD4BC8"/>
    <w:rsid w:val="00CD4C35"/>
    <w:rsid w:val="00CD5BEE"/>
    <w:rsid w:val="00CD7369"/>
    <w:rsid w:val="00CE0B0E"/>
    <w:rsid w:val="00CE3831"/>
    <w:rsid w:val="00D00ABB"/>
    <w:rsid w:val="00D02EEC"/>
    <w:rsid w:val="00D03551"/>
    <w:rsid w:val="00D06A63"/>
    <w:rsid w:val="00D07E0E"/>
    <w:rsid w:val="00D11478"/>
    <w:rsid w:val="00D15ED0"/>
    <w:rsid w:val="00D21B3E"/>
    <w:rsid w:val="00D21FED"/>
    <w:rsid w:val="00D24251"/>
    <w:rsid w:val="00D250D7"/>
    <w:rsid w:val="00D260F1"/>
    <w:rsid w:val="00D343E2"/>
    <w:rsid w:val="00D361A2"/>
    <w:rsid w:val="00D37C1F"/>
    <w:rsid w:val="00D42AFF"/>
    <w:rsid w:val="00D44C2E"/>
    <w:rsid w:val="00D45414"/>
    <w:rsid w:val="00D566BD"/>
    <w:rsid w:val="00D576CF"/>
    <w:rsid w:val="00D57A4D"/>
    <w:rsid w:val="00D60AA7"/>
    <w:rsid w:val="00D6435F"/>
    <w:rsid w:val="00D75E28"/>
    <w:rsid w:val="00D772C2"/>
    <w:rsid w:val="00D8008E"/>
    <w:rsid w:val="00D82C45"/>
    <w:rsid w:val="00D908A8"/>
    <w:rsid w:val="00D977B6"/>
    <w:rsid w:val="00DA4A31"/>
    <w:rsid w:val="00DA5F15"/>
    <w:rsid w:val="00DA7B04"/>
    <w:rsid w:val="00DB36C2"/>
    <w:rsid w:val="00DC169B"/>
    <w:rsid w:val="00DC2AB9"/>
    <w:rsid w:val="00DC63F0"/>
    <w:rsid w:val="00DD29FF"/>
    <w:rsid w:val="00DD4AAB"/>
    <w:rsid w:val="00DD5146"/>
    <w:rsid w:val="00DD6EE5"/>
    <w:rsid w:val="00DE386C"/>
    <w:rsid w:val="00DE4D35"/>
    <w:rsid w:val="00DF098B"/>
    <w:rsid w:val="00DF11C4"/>
    <w:rsid w:val="00DF210C"/>
    <w:rsid w:val="00DF4B6A"/>
    <w:rsid w:val="00E01E65"/>
    <w:rsid w:val="00E02C09"/>
    <w:rsid w:val="00E04D59"/>
    <w:rsid w:val="00E07DA1"/>
    <w:rsid w:val="00E123CB"/>
    <w:rsid w:val="00E20E13"/>
    <w:rsid w:val="00E21DBC"/>
    <w:rsid w:val="00E275D7"/>
    <w:rsid w:val="00E27DBE"/>
    <w:rsid w:val="00E32AB1"/>
    <w:rsid w:val="00E36C71"/>
    <w:rsid w:val="00E40404"/>
    <w:rsid w:val="00E40595"/>
    <w:rsid w:val="00E4529A"/>
    <w:rsid w:val="00E459C6"/>
    <w:rsid w:val="00E47589"/>
    <w:rsid w:val="00E64915"/>
    <w:rsid w:val="00E661D4"/>
    <w:rsid w:val="00E70091"/>
    <w:rsid w:val="00E720F5"/>
    <w:rsid w:val="00E76D47"/>
    <w:rsid w:val="00E77CB3"/>
    <w:rsid w:val="00E849F7"/>
    <w:rsid w:val="00E90302"/>
    <w:rsid w:val="00E97396"/>
    <w:rsid w:val="00EA185E"/>
    <w:rsid w:val="00EA592A"/>
    <w:rsid w:val="00EB14E4"/>
    <w:rsid w:val="00EB32A5"/>
    <w:rsid w:val="00EB34ED"/>
    <w:rsid w:val="00EB7BE0"/>
    <w:rsid w:val="00EB7E63"/>
    <w:rsid w:val="00EC315E"/>
    <w:rsid w:val="00ED077C"/>
    <w:rsid w:val="00ED1190"/>
    <w:rsid w:val="00ED6544"/>
    <w:rsid w:val="00EE0277"/>
    <w:rsid w:val="00EE3E00"/>
    <w:rsid w:val="00EE5DD2"/>
    <w:rsid w:val="00EF0A2E"/>
    <w:rsid w:val="00EF0E92"/>
    <w:rsid w:val="00EF63C2"/>
    <w:rsid w:val="00F00A79"/>
    <w:rsid w:val="00F00E86"/>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685B"/>
    <w:rsid w:val="00FB0C01"/>
    <w:rsid w:val="00FB2B45"/>
    <w:rsid w:val="00FB6016"/>
    <w:rsid w:val="00FC18F2"/>
    <w:rsid w:val="00FC39E5"/>
    <w:rsid w:val="00FC3A78"/>
    <w:rsid w:val="00FD1005"/>
    <w:rsid w:val="00FD6C75"/>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147F07"/>
    <w:pPr>
      <w:jc w:val="both"/>
    </w:pPr>
    <w:rPr>
      <w:rFonts w:eastAsiaTheme="minorEastAsia"/>
      <w:sz w:val="24"/>
    </w:rPr>
  </w:style>
  <w:style w:type="paragraph" w:styleId="Titolo1">
    <w:name w:val="heading 1"/>
    <w:basedOn w:val="Normale"/>
    <w:next w:val="Normale"/>
    <w:link w:val="Titolo1Carattere"/>
    <w:uiPriority w:val="99"/>
    <w:semiHidden/>
    <w:rsid w:val="00147F0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47F0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47F0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47F0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47F0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47F0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47F0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47F0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47F0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47F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F07"/>
    <w:rPr>
      <w:rFonts w:ascii="Tahoma" w:eastAsiaTheme="minorEastAsia" w:hAnsi="Tahoma" w:cs="Tahoma"/>
      <w:sz w:val="16"/>
      <w:szCs w:val="16"/>
    </w:rPr>
  </w:style>
  <w:style w:type="character" w:styleId="Titolodellibro">
    <w:name w:val="Book Title"/>
    <w:uiPriority w:val="99"/>
    <w:semiHidden/>
    <w:qFormat/>
    <w:rsid w:val="00147F07"/>
    <w:rPr>
      <w:i/>
      <w:iCs/>
      <w:smallCaps/>
      <w:spacing w:val="5"/>
    </w:rPr>
  </w:style>
  <w:style w:type="paragraph" w:customStyle="1" w:styleId="ECHRHeader">
    <w:name w:val="ECHR_Header"/>
    <w:aliases w:val="Ju_Header"/>
    <w:basedOn w:val="Intestazione"/>
    <w:uiPriority w:val="4"/>
    <w:qFormat/>
    <w:rsid w:val="00147F07"/>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47F07"/>
    <w:pPr>
      <w:jc w:val="left"/>
    </w:pPr>
    <w:rPr>
      <w:sz w:val="8"/>
    </w:rPr>
  </w:style>
  <w:style w:type="character" w:styleId="Enfasigrassetto">
    <w:name w:val="Strong"/>
    <w:uiPriority w:val="99"/>
    <w:semiHidden/>
    <w:qFormat/>
    <w:rsid w:val="00147F07"/>
    <w:rPr>
      <w:b/>
      <w:bCs/>
    </w:rPr>
  </w:style>
  <w:style w:type="paragraph" w:styleId="Nessunaspaziatura">
    <w:name w:val="No Spacing"/>
    <w:basedOn w:val="Normale"/>
    <w:link w:val="NessunaspaziaturaCarattere"/>
    <w:semiHidden/>
    <w:qFormat/>
    <w:rsid w:val="00147F07"/>
    <w:rPr>
      <w:sz w:val="22"/>
    </w:rPr>
  </w:style>
  <w:style w:type="character" w:customStyle="1" w:styleId="NessunaspaziaturaCarattere">
    <w:name w:val="Nessuna spaziatura Carattere"/>
    <w:basedOn w:val="Carpredefinitoparagrafo"/>
    <w:link w:val="Nessunaspaziatura"/>
    <w:semiHidden/>
    <w:rsid w:val="00147F07"/>
    <w:rPr>
      <w:rFonts w:eastAsiaTheme="minorEastAsia"/>
    </w:rPr>
  </w:style>
  <w:style w:type="paragraph" w:customStyle="1" w:styleId="ECHRFooterLine">
    <w:name w:val="ECHR_Footer_Line"/>
    <w:aliases w:val="Footer_Line"/>
    <w:basedOn w:val="Normale"/>
    <w:next w:val="ECHRFooter"/>
    <w:uiPriority w:val="57"/>
    <w:semiHidden/>
    <w:rsid w:val="00147F0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147F07"/>
  </w:style>
  <w:style w:type="paragraph" w:customStyle="1" w:styleId="DecList">
    <w:name w:val="Dec_List"/>
    <w:basedOn w:val="Normale"/>
    <w:uiPriority w:val="9"/>
    <w:semiHidden/>
    <w:qFormat/>
    <w:rsid w:val="00147F07"/>
    <w:pPr>
      <w:spacing w:before="240"/>
      <w:ind w:left="284"/>
    </w:pPr>
  </w:style>
  <w:style w:type="paragraph" w:customStyle="1" w:styleId="DummyStyle">
    <w:name w:val="Dummy_Style"/>
    <w:basedOn w:val="Normale"/>
    <w:semiHidden/>
    <w:qFormat/>
    <w:rsid w:val="00147F07"/>
    <w:rPr>
      <w:color w:val="00B050"/>
    </w:rPr>
  </w:style>
  <w:style w:type="paragraph" w:customStyle="1" w:styleId="ECHRTitleCentre3">
    <w:name w:val="ECHR_Title_Centre_3"/>
    <w:aliases w:val="Ju_H_Article"/>
    <w:basedOn w:val="Normale"/>
    <w:next w:val="ECHRParaQuote"/>
    <w:uiPriority w:val="27"/>
    <w:qFormat/>
    <w:rsid w:val="00147F0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147F07"/>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147F07"/>
    <w:pPr>
      <w:numPr>
        <w:numId w:val="19"/>
      </w:numPr>
      <w:jc w:val="left"/>
    </w:pPr>
    <w:rPr>
      <w:b/>
    </w:rPr>
  </w:style>
  <w:style w:type="paragraph" w:customStyle="1" w:styleId="JuCase">
    <w:name w:val="Ju_Case"/>
    <w:basedOn w:val="Normale"/>
    <w:next w:val="ECHRPara"/>
    <w:uiPriority w:val="10"/>
    <w:rsid w:val="00147F07"/>
    <w:pPr>
      <w:ind w:firstLine="284"/>
    </w:pPr>
    <w:rPr>
      <w:b/>
    </w:rPr>
  </w:style>
  <w:style w:type="paragraph" w:customStyle="1" w:styleId="JuCourt">
    <w:name w:val="Ju_Court"/>
    <w:basedOn w:val="Normale"/>
    <w:next w:val="Normale"/>
    <w:uiPriority w:val="16"/>
    <w:qFormat/>
    <w:rsid w:val="00147F07"/>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147F07"/>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147F07"/>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147F0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47F0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147F0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147F0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147F0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147F0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147F07"/>
    <w:pPr>
      <w:keepNext/>
      <w:keepLines/>
      <w:spacing w:before="240" w:after="120"/>
      <w:ind w:left="1236"/>
    </w:pPr>
    <w:rPr>
      <w:sz w:val="20"/>
    </w:rPr>
  </w:style>
  <w:style w:type="paragraph" w:customStyle="1" w:styleId="JuList">
    <w:name w:val="Ju_List"/>
    <w:basedOn w:val="Normale"/>
    <w:uiPriority w:val="28"/>
    <w:qFormat/>
    <w:rsid w:val="00147F07"/>
    <w:pPr>
      <w:ind w:left="340" w:hanging="340"/>
    </w:pPr>
  </w:style>
  <w:style w:type="paragraph" w:customStyle="1" w:styleId="JuLista">
    <w:name w:val="Ju_List_a"/>
    <w:basedOn w:val="JuList"/>
    <w:uiPriority w:val="28"/>
    <w:qFormat/>
    <w:rsid w:val="00147F07"/>
    <w:pPr>
      <w:ind w:left="346" w:firstLine="0"/>
    </w:pPr>
  </w:style>
  <w:style w:type="paragraph" w:customStyle="1" w:styleId="JuListi">
    <w:name w:val="Ju_List_i"/>
    <w:basedOn w:val="Normale"/>
    <w:next w:val="JuLista"/>
    <w:uiPriority w:val="28"/>
    <w:qFormat/>
    <w:rsid w:val="00147F07"/>
    <w:pPr>
      <w:ind w:left="794"/>
    </w:pPr>
  </w:style>
  <w:style w:type="paragraph" w:styleId="Intestazione">
    <w:name w:val="header"/>
    <w:basedOn w:val="Normale"/>
    <w:link w:val="IntestazioneCarattere"/>
    <w:uiPriority w:val="57"/>
    <w:semiHidden/>
    <w:rsid w:val="00147F0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47F07"/>
    <w:rPr>
      <w:sz w:val="24"/>
    </w:rPr>
  </w:style>
  <w:style w:type="character" w:customStyle="1" w:styleId="Titolo1Carattere">
    <w:name w:val="Titolo 1 Carattere"/>
    <w:basedOn w:val="Carpredefinitoparagrafo"/>
    <w:link w:val="Titolo1"/>
    <w:uiPriority w:val="99"/>
    <w:semiHidden/>
    <w:rsid w:val="00147F0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147F0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47F07"/>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147F07"/>
    <w:rPr>
      <w:rFonts w:asciiTheme="majorHAnsi" w:eastAsiaTheme="majorEastAsia" w:hAnsiTheme="majorHAnsi" w:cstheme="majorBidi"/>
      <w:b/>
      <w:bCs/>
      <w:color w:val="4D4D4D"/>
      <w:sz w:val="26"/>
      <w:szCs w:val="26"/>
    </w:rPr>
  </w:style>
  <w:style w:type="paragraph" w:customStyle="1" w:styleId="JuInitialled">
    <w:name w:val="Ju_Initialled"/>
    <w:basedOn w:val="Normale"/>
    <w:uiPriority w:val="31"/>
    <w:qFormat/>
    <w:rsid w:val="00147F07"/>
    <w:pPr>
      <w:tabs>
        <w:tab w:val="center" w:pos="6407"/>
      </w:tabs>
      <w:spacing w:before="720"/>
      <w:jc w:val="right"/>
    </w:pPr>
  </w:style>
  <w:style w:type="paragraph" w:customStyle="1" w:styleId="ECHRDecisionBody">
    <w:name w:val="ECHR_Decision_Body"/>
    <w:aliases w:val="Ju_Judges"/>
    <w:basedOn w:val="Normale"/>
    <w:uiPriority w:val="11"/>
    <w:qFormat/>
    <w:rsid w:val="00147F07"/>
    <w:pPr>
      <w:tabs>
        <w:tab w:val="left" w:pos="567"/>
        <w:tab w:val="left" w:pos="1134"/>
      </w:tabs>
      <w:jc w:val="left"/>
    </w:pPr>
  </w:style>
  <w:style w:type="character" w:customStyle="1" w:styleId="Titolo3Carattere">
    <w:name w:val="Titolo 3 Carattere"/>
    <w:basedOn w:val="Carpredefinitoparagrafo"/>
    <w:link w:val="Titolo3"/>
    <w:uiPriority w:val="99"/>
    <w:semiHidden/>
    <w:rsid w:val="00147F07"/>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147F07"/>
    <w:pPr>
      <w:ind w:firstLine="284"/>
    </w:pPr>
  </w:style>
  <w:style w:type="character" w:customStyle="1" w:styleId="Titolo4Carattere">
    <w:name w:val="Titolo 4 Carattere"/>
    <w:basedOn w:val="Carpredefinitoparagrafo"/>
    <w:link w:val="Titolo4"/>
    <w:uiPriority w:val="99"/>
    <w:semiHidden/>
    <w:rsid w:val="00147F07"/>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147F07"/>
    <w:rPr>
      <w:rFonts w:asciiTheme="majorHAnsi" w:eastAsiaTheme="majorEastAsia" w:hAnsiTheme="majorHAnsi" w:cstheme="majorBidi"/>
      <w:b/>
      <w:bCs/>
      <w:color w:val="808080"/>
    </w:rPr>
  </w:style>
  <w:style w:type="character" w:styleId="Enfasidelicata">
    <w:name w:val="Subtle Emphasis"/>
    <w:uiPriority w:val="99"/>
    <w:semiHidden/>
    <w:qFormat/>
    <w:rsid w:val="00147F07"/>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47F07"/>
    <w:pPr>
      <w:keepNext/>
      <w:keepLines/>
      <w:spacing w:before="720" w:after="240"/>
      <w:outlineLvl w:val="0"/>
    </w:pPr>
    <w:rPr>
      <w:rFonts w:asciiTheme="majorHAnsi" w:hAnsiTheme="majorHAnsi"/>
      <w:sz w:val="28"/>
    </w:rPr>
  </w:style>
  <w:style w:type="character" w:styleId="Enfasicorsivo">
    <w:name w:val="Emphasis"/>
    <w:uiPriority w:val="99"/>
    <w:semiHidden/>
    <w:qFormat/>
    <w:rsid w:val="00147F07"/>
    <w:rPr>
      <w:b/>
      <w:bCs/>
      <w:i/>
      <w:iCs/>
      <w:spacing w:val="10"/>
      <w:bdr w:val="none" w:sz="0" w:space="0" w:color="auto"/>
      <w:shd w:val="clear" w:color="auto" w:fill="auto"/>
    </w:rPr>
  </w:style>
  <w:style w:type="paragraph" w:styleId="Pidipagina">
    <w:name w:val="footer"/>
    <w:basedOn w:val="Normale"/>
    <w:link w:val="PidipaginaCarattere"/>
    <w:uiPriority w:val="57"/>
    <w:semiHidden/>
    <w:rsid w:val="00147F0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47F07"/>
    <w:rPr>
      <w:sz w:val="24"/>
    </w:rPr>
  </w:style>
  <w:style w:type="character" w:styleId="Rimandonotaapidipagina">
    <w:name w:val="footnote reference"/>
    <w:basedOn w:val="Carpredefinitoparagrafo"/>
    <w:uiPriority w:val="99"/>
    <w:semiHidden/>
    <w:rsid w:val="00147F07"/>
    <w:rPr>
      <w:vertAlign w:val="superscript"/>
    </w:rPr>
  </w:style>
  <w:style w:type="paragraph" w:styleId="Testonotaapidipagina">
    <w:name w:val="footnote text"/>
    <w:basedOn w:val="Normale"/>
    <w:link w:val="TestonotaapidipaginaCarattere"/>
    <w:uiPriority w:val="99"/>
    <w:semiHidden/>
    <w:rsid w:val="00147F07"/>
    <w:rPr>
      <w:sz w:val="20"/>
      <w:szCs w:val="20"/>
    </w:rPr>
  </w:style>
  <w:style w:type="character" w:customStyle="1" w:styleId="TestonotaapidipaginaCarattere">
    <w:name w:val="Testo nota a piè di pagina Carattere"/>
    <w:basedOn w:val="Carpredefinitoparagrafo"/>
    <w:link w:val="Testonotaapidipagina"/>
    <w:uiPriority w:val="99"/>
    <w:semiHidden/>
    <w:rsid w:val="00147F07"/>
    <w:rPr>
      <w:rFonts w:eastAsiaTheme="minorEastAsia"/>
      <w:sz w:val="20"/>
      <w:szCs w:val="20"/>
    </w:rPr>
  </w:style>
  <w:style w:type="character" w:customStyle="1" w:styleId="Titolo6Carattere">
    <w:name w:val="Titolo 6 Carattere"/>
    <w:basedOn w:val="Carpredefinitoparagrafo"/>
    <w:link w:val="Titolo6"/>
    <w:uiPriority w:val="99"/>
    <w:semiHidden/>
    <w:rsid w:val="00147F0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47F0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47F0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47F0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47F07"/>
    <w:rPr>
      <w:color w:val="0072BC" w:themeColor="hyperlink"/>
      <w:u w:val="single"/>
    </w:rPr>
  </w:style>
  <w:style w:type="character" w:styleId="Enfasiintensa">
    <w:name w:val="Intense Emphasis"/>
    <w:uiPriority w:val="99"/>
    <w:semiHidden/>
    <w:qFormat/>
    <w:rsid w:val="00147F07"/>
    <w:rPr>
      <w:b/>
      <w:bCs/>
    </w:rPr>
  </w:style>
  <w:style w:type="paragraph" w:styleId="Citazioneintensa">
    <w:name w:val="Intense Quote"/>
    <w:basedOn w:val="Normale"/>
    <w:next w:val="Normale"/>
    <w:link w:val="CitazioneintensaCarattere"/>
    <w:uiPriority w:val="99"/>
    <w:semiHidden/>
    <w:qFormat/>
    <w:rsid w:val="00147F0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47F07"/>
    <w:rPr>
      <w:rFonts w:eastAsiaTheme="minorEastAsia"/>
      <w:b/>
      <w:bCs/>
      <w:i/>
      <w:iCs/>
      <w:lang w:bidi="en-US"/>
    </w:rPr>
  </w:style>
  <w:style w:type="character" w:styleId="Riferimentointenso">
    <w:name w:val="Intense Reference"/>
    <w:uiPriority w:val="99"/>
    <w:semiHidden/>
    <w:qFormat/>
    <w:rsid w:val="00147F07"/>
    <w:rPr>
      <w:smallCaps/>
      <w:spacing w:val="5"/>
      <w:u w:val="single"/>
    </w:rPr>
  </w:style>
  <w:style w:type="paragraph" w:styleId="Paragrafoelenco">
    <w:name w:val="List Paragraph"/>
    <w:basedOn w:val="Normale"/>
    <w:uiPriority w:val="99"/>
    <w:semiHidden/>
    <w:qFormat/>
    <w:rsid w:val="00147F07"/>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147F07"/>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47F07"/>
    <w:rPr>
      <w:rFonts w:eastAsiaTheme="minorEastAsia"/>
      <w:i/>
      <w:iCs/>
      <w:lang w:bidi="en-US"/>
    </w:rPr>
  </w:style>
  <w:style w:type="character" w:styleId="Riferimentodelicato">
    <w:name w:val="Subtle Reference"/>
    <w:uiPriority w:val="99"/>
    <w:semiHidden/>
    <w:qFormat/>
    <w:rsid w:val="00147F07"/>
    <w:rPr>
      <w:smallCaps/>
    </w:rPr>
  </w:style>
  <w:style w:type="table" w:styleId="Grigliatabella">
    <w:name w:val="Table Grid"/>
    <w:basedOn w:val="Tabellanormale"/>
    <w:uiPriority w:val="59"/>
    <w:semiHidden/>
    <w:rsid w:val="00147F0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147F0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47F0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47F0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47F0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47F0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47F0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47F0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147F07"/>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47F0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ParaLast">
    <w:name w:val="Ju_Para_Last"/>
    <w:basedOn w:val="Normale"/>
    <w:next w:val="ECHRPara"/>
    <w:uiPriority w:val="30"/>
    <w:qFormat/>
    <w:rsid w:val="00147F07"/>
    <w:pPr>
      <w:keepNext/>
      <w:keepLines/>
      <w:spacing w:before="240"/>
      <w:ind w:firstLine="284"/>
    </w:pPr>
  </w:style>
  <w:style w:type="paragraph" w:customStyle="1" w:styleId="JuParaSub">
    <w:name w:val="Ju_Para_Sub"/>
    <w:basedOn w:val="ECHRPara"/>
    <w:uiPriority w:val="13"/>
    <w:qFormat/>
    <w:rsid w:val="00147F07"/>
    <w:pPr>
      <w:ind w:left="284"/>
    </w:pPr>
  </w:style>
  <w:style w:type="character" w:customStyle="1" w:styleId="JuITMark">
    <w:name w:val="Ju_ITMark"/>
    <w:basedOn w:val="Carpredefinitoparagrafo"/>
    <w:uiPriority w:val="38"/>
    <w:qFormat/>
    <w:rsid w:val="00147F07"/>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147F07"/>
    <w:rPr>
      <w:caps w:val="0"/>
      <w:smallCaps/>
    </w:rPr>
  </w:style>
  <w:style w:type="paragraph" w:customStyle="1" w:styleId="JuSigned">
    <w:name w:val="Ju_Signed"/>
    <w:basedOn w:val="Normale"/>
    <w:next w:val="JuParaLast"/>
    <w:uiPriority w:val="32"/>
    <w:qFormat/>
    <w:rsid w:val="00147F07"/>
    <w:pPr>
      <w:tabs>
        <w:tab w:val="center" w:pos="851"/>
        <w:tab w:val="center" w:pos="6407"/>
      </w:tabs>
      <w:spacing w:before="720"/>
      <w:jc w:val="left"/>
    </w:pPr>
  </w:style>
  <w:style w:type="character" w:styleId="Numeropagina">
    <w:name w:val="page number"/>
    <w:uiPriority w:val="99"/>
    <w:semiHidden/>
    <w:rsid w:val="00E77CB3"/>
    <w:rPr>
      <w:rFonts w:ascii="Times New Roman" w:hAnsi="Times New Roman" w:cs="Times New Roman"/>
      <w:sz w:val="18"/>
    </w:rPr>
  </w:style>
  <w:style w:type="paragraph" w:customStyle="1" w:styleId="JuQuotSub">
    <w:name w:val="Ju_Quot_Sub"/>
    <w:basedOn w:val="ECHRParaQuote"/>
    <w:uiPriority w:val="15"/>
    <w:qFormat/>
    <w:rsid w:val="00147F07"/>
    <w:pPr>
      <w:ind w:left="567"/>
    </w:pPr>
  </w:style>
  <w:style w:type="paragraph" w:customStyle="1" w:styleId="JuTitle">
    <w:name w:val="Ju_Title"/>
    <w:basedOn w:val="Normale"/>
    <w:next w:val="ECHRPara"/>
    <w:uiPriority w:val="3"/>
    <w:semiHidden/>
    <w:qFormat/>
    <w:rsid w:val="00147F07"/>
    <w:pPr>
      <w:spacing w:before="720" w:after="240"/>
      <w:jc w:val="center"/>
      <w:outlineLvl w:val="0"/>
    </w:pPr>
    <w:rPr>
      <w:rFonts w:asciiTheme="majorHAnsi" w:hAnsiTheme="majorHAnsi"/>
      <w:b/>
      <w:caps/>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147F07"/>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147F07"/>
    <w:pPr>
      <w:ind w:left="833" w:hanging="357"/>
      <w:outlineLvl w:val="3"/>
    </w:pPr>
    <w:rPr>
      <w:b/>
      <w:i w:val="0"/>
      <w:sz w:val="20"/>
    </w:rPr>
  </w:style>
  <w:style w:type="paragraph" w:styleId="Sottotitolo">
    <w:name w:val="Subtitle"/>
    <w:basedOn w:val="Normale"/>
    <w:next w:val="Normale"/>
    <w:link w:val="SottotitoloCarattere"/>
    <w:uiPriority w:val="99"/>
    <w:semiHidden/>
    <w:qFormat/>
    <w:rsid w:val="00147F07"/>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47F07"/>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147F0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47F0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47F0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147F07"/>
    <w:pPr>
      <w:tabs>
        <w:tab w:val="clear" w:pos="357"/>
      </w:tabs>
      <w:outlineLvl w:val="1"/>
    </w:pPr>
    <w:rPr>
      <w:b/>
    </w:rPr>
  </w:style>
  <w:style w:type="paragraph" w:customStyle="1" w:styleId="OpiHi">
    <w:name w:val="Opi_H_i"/>
    <w:basedOn w:val="ECHRHeading4"/>
    <w:uiPriority w:val="44"/>
    <w:qFormat/>
    <w:rsid w:val="00147F07"/>
    <w:pPr>
      <w:ind w:left="1037" w:hanging="357"/>
      <w:outlineLvl w:val="4"/>
    </w:pPr>
    <w:rPr>
      <w:b w:val="0"/>
      <w:i/>
    </w:rPr>
  </w:style>
  <w:style w:type="paragraph" w:customStyle="1" w:styleId="OpiPara">
    <w:name w:val="Opi_Para"/>
    <w:basedOn w:val="ECHRPara"/>
    <w:uiPriority w:val="46"/>
    <w:qFormat/>
    <w:rsid w:val="00147F07"/>
  </w:style>
  <w:style w:type="paragraph" w:customStyle="1" w:styleId="OpiParaSub">
    <w:name w:val="Opi_Para_Sub"/>
    <w:basedOn w:val="JuParaSub"/>
    <w:uiPriority w:val="47"/>
    <w:qFormat/>
    <w:rsid w:val="00147F07"/>
  </w:style>
  <w:style w:type="paragraph" w:customStyle="1" w:styleId="OpiQuot">
    <w:name w:val="Opi_Quot"/>
    <w:basedOn w:val="ECHRParaQuote"/>
    <w:uiPriority w:val="48"/>
    <w:qFormat/>
    <w:rsid w:val="00147F07"/>
  </w:style>
  <w:style w:type="paragraph" w:customStyle="1" w:styleId="OpiQuotSub">
    <w:name w:val="Opi_Quot_Sub"/>
    <w:basedOn w:val="JuQuotSub"/>
    <w:uiPriority w:val="49"/>
    <w:qFormat/>
    <w:rsid w:val="00147F07"/>
  </w:style>
  <w:style w:type="paragraph" w:customStyle="1" w:styleId="OpiTranslation">
    <w:name w:val="Opi_Translation"/>
    <w:basedOn w:val="Normale"/>
    <w:next w:val="OpiPara"/>
    <w:uiPriority w:val="40"/>
    <w:qFormat/>
    <w:rsid w:val="00147F07"/>
    <w:pPr>
      <w:jc w:val="center"/>
      <w:outlineLvl w:val="0"/>
    </w:pPr>
    <w:rPr>
      <w:i/>
    </w:rPr>
  </w:style>
  <w:style w:type="character" w:customStyle="1" w:styleId="ECHRParaChar">
    <w:name w:val="ECHR_Para Char"/>
    <w:aliases w:val="Ju_Para Char,Para Char"/>
    <w:link w:val="ECHRPara"/>
    <w:uiPriority w:val="12"/>
    <w:rsid w:val="00737889"/>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147F07"/>
    <w:pPr>
      <w:jc w:val="both"/>
    </w:pPr>
    <w:rPr>
      <w:rFonts w:eastAsiaTheme="minorEastAsia"/>
      <w:sz w:val="24"/>
    </w:rPr>
  </w:style>
  <w:style w:type="paragraph" w:styleId="Titolo1">
    <w:name w:val="heading 1"/>
    <w:basedOn w:val="Normale"/>
    <w:next w:val="Normale"/>
    <w:link w:val="Titolo1Carattere"/>
    <w:uiPriority w:val="99"/>
    <w:semiHidden/>
    <w:rsid w:val="00147F0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147F0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147F0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147F0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147F0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147F0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147F0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147F0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147F0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147F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F07"/>
    <w:rPr>
      <w:rFonts w:ascii="Tahoma" w:eastAsiaTheme="minorEastAsia" w:hAnsi="Tahoma" w:cs="Tahoma"/>
      <w:sz w:val="16"/>
      <w:szCs w:val="16"/>
    </w:rPr>
  </w:style>
  <w:style w:type="character" w:styleId="Titolodellibro">
    <w:name w:val="Book Title"/>
    <w:uiPriority w:val="99"/>
    <w:semiHidden/>
    <w:qFormat/>
    <w:rsid w:val="00147F07"/>
    <w:rPr>
      <w:i/>
      <w:iCs/>
      <w:smallCaps/>
      <w:spacing w:val="5"/>
    </w:rPr>
  </w:style>
  <w:style w:type="paragraph" w:customStyle="1" w:styleId="ECHRHeader">
    <w:name w:val="ECHR_Header"/>
    <w:aliases w:val="Ju_Header"/>
    <w:basedOn w:val="Intestazione"/>
    <w:uiPriority w:val="4"/>
    <w:qFormat/>
    <w:rsid w:val="00147F07"/>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147F07"/>
    <w:pPr>
      <w:jc w:val="left"/>
    </w:pPr>
    <w:rPr>
      <w:sz w:val="8"/>
    </w:rPr>
  </w:style>
  <w:style w:type="character" w:styleId="Enfasigrassetto">
    <w:name w:val="Strong"/>
    <w:uiPriority w:val="99"/>
    <w:semiHidden/>
    <w:qFormat/>
    <w:rsid w:val="00147F07"/>
    <w:rPr>
      <w:b/>
      <w:bCs/>
    </w:rPr>
  </w:style>
  <w:style w:type="paragraph" w:styleId="Nessunaspaziatura">
    <w:name w:val="No Spacing"/>
    <w:basedOn w:val="Normale"/>
    <w:link w:val="NessunaspaziaturaCarattere"/>
    <w:semiHidden/>
    <w:qFormat/>
    <w:rsid w:val="00147F07"/>
    <w:rPr>
      <w:sz w:val="22"/>
    </w:rPr>
  </w:style>
  <w:style w:type="character" w:customStyle="1" w:styleId="NessunaspaziaturaCarattere">
    <w:name w:val="Nessuna spaziatura Carattere"/>
    <w:basedOn w:val="Carpredefinitoparagrafo"/>
    <w:link w:val="Nessunaspaziatura"/>
    <w:semiHidden/>
    <w:rsid w:val="00147F07"/>
    <w:rPr>
      <w:rFonts w:eastAsiaTheme="minorEastAsia"/>
    </w:rPr>
  </w:style>
  <w:style w:type="paragraph" w:customStyle="1" w:styleId="ECHRFooterLine">
    <w:name w:val="ECHR_Footer_Line"/>
    <w:aliases w:val="Footer_Line"/>
    <w:basedOn w:val="Normale"/>
    <w:next w:val="ECHRFooter"/>
    <w:uiPriority w:val="57"/>
    <w:semiHidden/>
    <w:rsid w:val="00147F0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147F07"/>
  </w:style>
  <w:style w:type="paragraph" w:customStyle="1" w:styleId="DecList">
    <w:name w:val="Dec_List"/>
    <w:basedOn w:val="Normale"/>
    <w:uiPriority w:val="9"/>
    <w:semiHidden/>
    <w:qFormat/>
    <w:rsid w:val="00147F07"/>
    <w:pPr>
      <w:spacing w:before="240"/>
      <w:ind w:left="284"/>
    </w:pPr>
  </w:style>
  <w:style w:type="paragraph" w:customStyle="1" w:styleId="DummyStyle">
    <w:name w:val="Dummy_Style"/>
    <w:basedOn w:val="Normale"/>
    <w:semiHidden/>
    <w:qFormat/>
    <w:rsid w:val="00147F07"/>
    <w:rPr>
      <w:color w:val="00B050"/>
    </w:rPr>
  </w:style>
  <w:style w:type="paragraph" w:customStyle="1" w:styleId="ECHRTitleCentre3">
    <w:name w:val="ECHR_Title_Centre_3"/>
    <w:aliases w:val="Ju_H_Article"/>
    <w:basedOn w:val="Normale"/>
    <w:next w:val="ECHRParaQuote"/>
    <w:uiPriority w:val="27"/>
    <w:qFormat/>
    <w:rsid w:val="00147F0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147F07"/>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147F07"/>
    <w:pPr>
      <w:numPr>
        <w:numId w:val="19"/>
      </w:numPr>
      <w:jc w:val="left"/>
    </w:pPr>
    <w:rPr>
      <w:b/>
    </w:rPr>
  </w:style>
  <w:style w:type="paragraph" w:customStyle="1" w:styleId="JuCase">
    <w:name w:val="Ju_Case"/>
    <w:basedOn w:val="Normale"/>
    <w:next w:val="ECHRPara"/>
    <w:uiPriority w:val="10"/>
    <w:rsid w:val="00147F07"/>
    <w:pPr>
      <w:ind w:firstLine="284"/>
    </w:pPr>
    <w:rPr>
      <w:b/>
    </w:rPr>
  </w:style>
  <w:style w:type="paragraph" w:customStyle="1" w:styleId="JuCourt">
    <w:name w:val="Ju_Court"/>
    <w:basedOn w:val="Normale"/>
    <w:next w:val="Normale"/>
    <w:uiPriority w:val="16"/>
    <w:qFormat/>
    <w:rsid w:val="00147F07"/>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147F07"/>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147F07"/>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147F0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147F0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147F0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147F0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147F07"/>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147F07"/>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147F07"/>
    <w:pPr>
      <w:keepNext/>
      <w:keepLines/>
      <w:spacing w:before="240" w:after="120"/>
      <w:ind w:left="1236"/>
    </w:pPr>
    <w:rPr>
      <w:sz w:val="20"/>
    </w:rPr>
  </w:style>
  <w:style w:type="paragraph" w:customStyle="1" w:styleId="JuList">
    <w:name w:val="Ju_List"/>
    <w:basedOn w:val="Normale"/>
    <w:uiPriority w:val="28"/>
    <w:qFormat/>
    <w:rsid w:val="00147F07"/>
    <w:pPr>
      <w:ind w:left="340" w:hanging="340"/>
    </w:pPr>
  </w:style>
  <w:style w:type="paragraph" w:customStyle="1" w:styleId="JuLista">
    <w:name w:val="Ju_List_a"/>
    <w:basedOn w:val="JuList"/>
    <w:uiPriority w:val="28"/>
    <w:qFormat/>
    <w:rsid w:val="00147F07"/>
    <w:pPr>
      <w:ind w:left="346" w:firstLine="0"/>
    </w:pPr>
  </w:style>
  <w:style w:type="paragraph" w:customStyle="1" w:styleId="JuListi">
    <w:name w:val="Ju_List_i"/>
    <w:basedOn w:val="Normale"/>
    <w:next w:val="JuLista"/>
    <w:uiPriority w:val="28"/>
    <w:qFormat/>
    <w:rsid w:val="00147F07"/>
    <w:pPr>
      <w:ind w:left="794"/>
    </w:pPr>
  </w:style>
  <w:style w:type="paragraph" w:styleId="Intestazione">
    <w:name w:val="header"/>
    <w:basedOn w:val="Normale"/>
    <w:link w:val="IntestazioneCarattere"/>
    <w:uiPriority w:val="57"/>
    <w:semiHidden/>
    <w:rsid w:val="00147F0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147F07"/>
    <w:rPr>
      <w:sz w:val="24"/>
    </w:rPr>
  </w:style>
  <w:style w:type="character" w:customStyle="1" w:styleId="Titolo1Carattere">
    <w:name w:val="Titolo 1 Carattere"/>
    <w:basedOn w:val="Carpredefinitoparagrafo"/>
    <w:link w:val="Titolo1"/>
    <w:uiPriority w:val="99"/>
    <w:semiHidden/>
    <w:rsid w:val="00147F0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147F0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147F07"/>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147F07"/>
    <w:rPr>
      <w:rFonts w:asciiTheme="majorHAnsi" w:eastAsiaTheme="majorEastAsia" w:hAnsiTheme="majorHAnsi" w:cstheme="majorBidi"/>
      <w:b/>
      <w:bCs/>
      <w:color w:val="4D4D4D"/>
      <w:sz w:val="26"/>
      <w:szCs w:val="26"/>
    </w:rPr>
  </w:style>
  <w:style w:type="paragraph" w:customStyle="1" w:styleId="JuInitialled">
    <w:name w:val="Ju_Initialled"/>
    <w:basedOn w:val="Normale"/>
    <w:uiPriority w:val="31"/>
    <w:qFormat/>
    <w:rsid w:val="00147F07"/>
    <w:pPr>
      <w:tabs>
        <w:tab w:val="center" w:pos="6407"/>
      </w:tabs>
      <w:spacing w:before="720"/>
      <w:jc w:val="right"/>
    </w:pPr>
  </w:style>
  <w:style w:type="paragraph" w:customStyle="1" w:styleId="ECHRDecisionBody">
    <w:name w:val="ECHR_Decision_Body"/>
    <w:aliases w:val="Ju_Judges"/>
    <w:basedOn w:val="Normale"/>
    <w:uiPriority w:val="11"/>
    <w:qFormat/>
    <w:rsid w:val="00147F07"/>
    <w:pPr>
      <w:tabs>
        <w:tab w:val="left" w:pos="567"/>
        <w:tab w:val="left" w:pos="1134"/>
      </w:tabs>
      <w:jc w:val="left"/>
    </w:pPr>
  </w:style>
  <w:style w:type="character" w:customStyle="1" w:styleId="Titolo3Carattere">
    <w:name w:val="Titolo 3 Carattere"/>
    <w:basedOn w:val="Carpredefinitoparagrafo"/>
    <w:link w:val="Titolo3"/>
    <w:uiPriority w:val="99"/>
    <w:semiHidden/>
    <w:rsid w:val="00147F07"/>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147F07"/>
    <w:pPr>
      <w:ind w:firstLine="284"/>
    </w:pPr>
  </w:style>
  <w:style w:type="character" w:customStyle="1" w:styleId="Titolo4Carattere">
    <w:name w:val="Titolo 4 Carattere"/>
    <w:basedOn w:val="Carpredefinitoparagrafo"/>
    <w:link w:val="Titolo4"/>
    <w:uiPriority w:val="99"/>
    <w:semiHidden/>
    <w:rsid w:val="00147F07"/>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147F07"/>
    <w:rPr>
      <w:rFonts w:asciiTheme="majorHAnsi" w:eastAsiaTheme="majorEastAsia" w:hAnsiTheme="majorHAnsi" w:cstheme="majorBidi"/>
      <w:b/>
      <w:bCs/>
      <w:color w:val="808080"/>
    </w:rPr>
  </w:style>
  <w:style w:type="character" w:styleId="Enfasidelicata">
    <w:name w:val="Subtle Emphasis"/>
    <w:uiPriority w:val="99"/>
    <w:semiHidden/>
    <w:qFormat/>
    <w:rsid w:val="00147F07"/>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147F07"/>
    <w:pPr>
      <w:keepNext/>
      <w:keepLines/>
      <w:spacing w:before="720" w:after="240"/>
      <w:outlineLvl w:val="0"/>
    </w:pPr>
    <w:rPr>
      <w:rFonts w:asciiTheme="majorHAnsi" w:hAnsiTheme="majorHAnsi"/>
      <w:sz w:val="28"/>
    </w:rPr>
  </w:style>
  <w:style w:type="character" w:styleId="Enfasicorsivo">
    <w:name w:val="Emphasis"/>
    <w:uiPriority w:val="99"/>
    <w:semiHidden/>
    <w:qFormat/>
    <w:rsid w:val="00147F07"/>
    <w:rPr>
      <w:b/>
      <w:bCs/>
      <w:i/>
      <w:iCs/>
      <w:spacing w:val="10"/>
      <w:bdr w:val="none" w:sz="0" w:space="0" w:color="auto"/>
      <w:shd w:val="clear" w:color="auto" w:fill="auto"/>
    </w:rPr>
  </w:style>
  <w:style w:type="paragraph" w:styleId="Pidipagina">
    <w:name w:val="footer"/>
    <w:basedOn w:val="Normale"/>
    <w:link w:val="PidipaginaCarattere"/>
    <w:uiPriority w:val="57"/>
    <w:semiHidden/>
    <w:rsid w:val="00147F0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147F07"/>
    <w:rPr>
      <w:sz w:val="24"/>
    </w:rPr>
  </w:style>
  <w:style w:type="character" w:styleId="Rimandonotaapidipagina">
    <w:name w:val="footnote reference"/>
    <w:basedOn w:val="Carpredefinitoparagrafo"/>
    <w:uiPriority w:val="99"/>
    <w:semiHidden/>
    <w:rsid w:val="00147F07"/>
    <w:rPr>
      <w:vertAlign w:val="superscript"/>
    </w:rPr>
  </w:style>
  <w:style w:type="paragraph" w:styleId="Testonotaapidipagina">
    <w:name w:val="footnote text"/>
    <w:basedOn w:val="Normale"/>
    <w:link w:val="TestonotaapidipaginaCarattere"/>
    <w:uiPriority w:val="99"/>
    <w:semiHidden/>
    <w:rsid w:val="00147F07"/>
    <w:rPr>
      <w:sz w:val="20"/>
      <w:szCs w:val="20"/>
    </w:rPr>
  </w:style>
  <w:style w:type="character" w:customStyle="1" w:styleId="TestonotaapidipaginaCarattere">
    <w:name w:val="Testo nota a piè di pagina Carattere"/>
    <w:basedOn w:val="Carpredefinitoparagrafo"/>
    <w:link w:val="Testonotaapidipagina"/>
    <w:uiPriority w:val="99"/>
    <w:semiHidden/>
    <w:rsid w:val="00147F07"/>
    <w:rPr>
      <w:rFonts w:eastAsiaTheme="minorEastAsia"/>
      <w:sz w:val="20"/>
      <w:szCs w:val="20"/>
    </w:rPr>
  </w:style>
  <w:style w:type="character" w:customStyle="1" w:styleId="Titolo6Carattere">
    <w:name w:val="Titolo 6 Carattere"/>
    <w:basedOn w:val="Carpredefinitoparagrafo"/>
    <w:link w:val="Titolo6"/>
    <w:uiPriority w:val="99"/>
    <w:semiHidden/>
    <w:rsid w:val="00147F0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147F0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147F0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147F0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147F07"/>
    <w:rPr>
      <w:color w:val="0072BC" w:themeColor="hyperlink"/>
      <w:u w:val="single"/>
    </w:rPr>
  </w:style>
  <w:style w:type="character" w:styleId="Enfasiintensa">
    <w:name w:val="Intense Emphasis"/>
    <w:uiPriority w:val="99"/>
    <w:semiHidden/>
    <w:qFormat/>
    <w:rsid w:val="00147F07"/>
    <w:rPr>
      <w:b/>
      <w:bCs/>
    </w:rPr>
  </w:style>
  <w:style w:type="paragraph" w:styleId="Citazioneintensa">
    <w:name w:val="Intense Quote"/>
    <w:basedOn w:val="Normale"/>
    <w:next w:val="Normale"/>
    <w:link w:val="CitazioneintensaCarattere"/>
    <w:uiPriority w:val="99"/>
    <w:semiHidden/>
    <w:qFormat/>
    <w:rsid w:val="00147F0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147F07"/>
    <w:rPr>
      <w:rFonts w:eastAsiaTheme="minorEastAsia"/>
      <w:b/>
      <w:bCs/>
      <w:i/>
      <w:iCs/>
      <w:lang w:bidi="en-US"/>
    </w:rPr>
  </w:style>
  <w:style w:type="character" w:styleId="Riferimentointenso">
    <w:name w:val="Intense Reference"/>
    <w:uiPriority w:val="99"/>
    <w:semiHidden/>
    <w:qFormat/>
    <w:rsid w:val="00147F07"/>
    <w:rPr>
      <w:smallCaps/>
      <w:spacing w:val="5"/>
      <w:u w:val="single"/>
    </w:rPr>
  </w:style>
  <w:style w:type="paragraph" w:styleId="Paragrafoelenco">
    <w:name w:val="List Paragraph"/>
    <w:basedOn w:val="Normale"/>
    <w:uiPriority w:val="99"/>
    <w:semiHidden/>
    <w:qFormat/>
    <w:rsid w:val="00147F07"/>
    <w:pPr>
      <w:ind w:left="720"/>
      <w:contextualSpacing/>
    </w:pPr>
  </w:style>
  <w:style w:type="table" w:customStyle="1" w:styleId="LtrTableAddress">
    <w:name w:val="Ltr_Table_Address"/>
    <w:basedOn w:val="Tabellanormale"/>
    <w:uiPriority w:val="99"/>
    <w:rsid w:val="001E6F32"/>
    <w:tblPr>
      <w:tblInd w:w="5103" w:type="dxa"/>
      <w:tblCellMar>
        <w:top w:w="0" w:type="dxa"/>
        <w:left w:w="108" w:type="dxa"/>
        <w:bottom w:w="0" w:type="dxa"/>
        <w:right w:w="108" w:type="dxa"/>
      </w:tblCellMar>
    </w:tblPr>
  </w:style>
  <w:style w:type="paragraph" w:styleId="Citazione">
    <w:name w:val="Quote"/>
    <w:basedOn w:val="Normale"/>
    <w:next w:val="Normale"/>
    <w:link w:val="CitazioneCarattere"/>
    <w:uiPriority w:val="99"/>
    <w:semiHidden/>
    <w:qFormat/>
    <w:rsid w:val="00147F07"/>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147F07"/>
    <w:rPr>
      <w:rFonts w:eastAsiaTheme="minorEastAsia"/>
      <w:i/>
      <w:iCs/>
      <w:lang w:bidi="en-US"/>
    </w:rPr>
  </w:style>
  <w:style w:type="character" w:styleId="Riferimentodelicato">
    <w:name w:val="Subtle Reference"/>
    <w:uiPriority w:val="99"/>
    <w:semiHidden/>
    <w:qFormat/>
    <w:rsid w:val="00147F07"/>
    <w:rPr>
      <w:smallCaps/>
    </w:rPr>
  </w:style>
  <w:style w:type="table" w:styleId="Grigliatabella">
    <w:name w:val="Table Grid"/>
    <w:basedOn w:val="Tabellanormale"/>
    <w:uiPriority w:val="59"/>
    <w:semiHidden/>
    <w:rsid w:val="00147F0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1">
    <w:name w:val="toc 1"/>
    <w:basedOn w:val="Normale"/>
    <w:next w:val="Normale"/>
    <w:autoRedefine/>
    <w:uiPriority w:val="99"/>
    <w:semiHidden/>
    <w:rsid w:val="00147F0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147F0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147F0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147F0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147F0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147F0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Tabellanormale"/>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147F0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147F07"/>
    <w:pPr>
      <w:spacing w:before="120" w:after="120"/>
      <w:ind w:left="425" w:firstLine="142"/>
    </w:pPr>
    <w:rPr>
      <w:sz w:val="20"/>
    </w:rPr>
  </w:style>
  <w:style w:type="table" w:customStyle="1" w:styleId="ECHRTableSimpleBox">
    <w:name w:val="ECHR_Table_Simple_Box"/>
    <w:basedOn w:val="Tabellanormale"/>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Tabellanormale"/>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47F07"/>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ParaLast">
    <w:name w:val="Ju_Para_Last"/>
    <w:basedOn w:val="Normale"/>
    <w:next w:val="ECHRPara"/>
    <w:uiPriority w:val="30"/>
    <w:qFormat/>
    <w:rsid w:val="00147F07"/>
    <w:pPr>
      <w:keepNext/>
      <w:keepLines/>
      <w:spacing w:before="240"/>
      <w:ind w:firstLine="284"/>
    </w:pPr>
  </w:style>
  <w:style w:type="paragraph" w:customStyle="1" w:styleId="JuParaSub">
    <w:name w:val="Ju_Para_Sub"/>
    <w:basedOn w:val="ECHRPara"/>
    <w:uiPriority w:val="13"/>
    <w:qFormat/>
    <w:rsid w:val="00147F07"/>
    <w:pPr>
      <w:ind w:left="284"/>
    </w:pPr>
  </w:style>
  <w:style w:type="character" w:customStyle="1" w:styleId="JuITMark">
    <w:name w:val="Ju_ITMark"/>
    <w:basedOn w:val="Carpredefinitoparagrafo"/>
    <w:uiPriority w:val="38"/>
    <w:qFormat/>
    <w:rsid w:val="00147F07"/>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147F07"/>
    <w:rPr>
      <w:caps w:val="0"/>
      <w:smallCaps/>
    </w:rPr>
  </w:style>
  <w:style w:type="paragraph" w:customStyle="1" w:styleId="JuSigned">
    <w:name w:val="Ju_Signed"/>
    <w:basedOn w:val="Normale"/>
    <w:next w:val="JuParaLast"/>
    <w:uiPriority w:val="32"/>
    <w:qFormat/>
    <w:rsid w:val="00147F07"/>
    <w:pPr>
      <w:tabs>
        <w:tab w:val="center" w:pos="851"/>
        <w:tab w:val="center" w:pos="6407"/>
      </w:tabs>
      <w:spacing w:before="720"/>
      <w:jc w:val="left"/>
    </w:pPr>
  </w:style>
  <w:style w:type="character" w:styleId="Numeropagina">
    <w:name w:val="page number"/>
    <w:uiPriority w:val="99"/>
    <w:semiHidden/>
    <w:rsid w:val="00E77CB3"/>
    <w:rPr>
      <w:rFonts w:ascii="Times New Roman" w:hAnsi="Times New Roman" w:cs="Times New Roman"/>
      <w:sz w:val="18"/>
    </w:rPr>
  </w:style>
  <w:style w:type="paragraph" w:customStyle="1" w:styleId="JuQuotSub">
    <w:name w:val="Ju_Quot_Sub"/>
    <w:basedOn w:val="ECHRParaQuote"/>
    <w:uiPriority w:val="15"/>
    <w:qFormat/>
    <w:rsid w:val="00147F07"/>
    <w:pPr>
      <w:ind w:left="567"/>
    </w:pPr>
  </w:style>
  <w:style w:type="paragraph" w:customStyle="1" w:styleId="JuTitle">
    <w:name w:val="Ju_Title"/>
    <w:basedOn w:val="Normale"/>
    <w:next w:val="ECHRPara"/>
    <w:uiPriority w:val="3"/>
    <w:semiHidden/>
    <w:qFormat/>
    <w:rsid w:val="00147F07"/>
    <w:pPr>
      <w:spacing w:before="720" w:after="240"/>
      <w:jc w:val="center"/>
      <w:outlineLvl w:val="0"/>
    </w:pPr>
    <w:rPr>
      <w:rFonts w:asciiTheme="majorHAnsi" w:hAnsiTheme="majorHAnsi"/>
      <w:b/>
      <w:caps/>
    </w:r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147F07"/>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147F07"/>
    <w:pPr>
      <w:ind w:left="833" w:hanging="357"/>
      <w:outlineLvl w:val="3"/>
    </w:pPr>
    <w:rPr>
      <w:b/>
      <w:i w:val="0"/>
      <w:sz w:val="20"/>
    </w:rPr>
  </w:style>
  <w:style w:type="paragraph" w:styleId="Sottotitolo">
    <w:name w:val="Subtitle"/>
    <w:basedOn w:val="Normale"/>
    <w:next w:val="Normale"/>
    <w:link w:val="SottotitoloCarattere"/>
    <w:uiPriority w:val="99"/>
    <w:semiHidden/>
    <w:qFormat/>
    <w:rsid w:val="00147F07"/>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147F07"/>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147F0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aWeb1">
    <w:name w:val="Table Web 1"/>
    <w:basedOn w:val="Tabellanormale"/>
    <w:uiPriority w:val="99"/>
    <w:semiHidden/>
    <w:rsid w:val="00E77CB3"/>
    <w:pPr>
      <w:jc w:val="both"/>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147F0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147F0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147F07"/>
    <w:pPr>
      <w:tabs>
        <w:tab w:val="clear" w:pos="357"/>
      </w:tabs>
      <w:outlineLvl w:val="1"/>
    </w:pPr>
    <w:rPr>
      <w:b/>
    </w:rPr>
  </w:style>
  <w:style w:type="paragraph" w:customStyle="1" w:styleId="OpiHi">
    <w:name w:val="Opi_H_i"/>
    <w:basedOn w:val="ECHRHeading4"/>
    <w:uiPriority w:val="44"/>
    <w:qFormat/>
    <w:rsid w:val="00147F07"/>
    <w:pPr>
      <w:ind w:left="1037" w:hanging="357"/>
      <w:outlineLvl w:val="4"/>
    </w:pPr>
    <w:rPr>
      <w:b w:val="0"/>
      <w:i/>
    </w:rPr>
  </w:style>
  <w:style w:type="paragraph" w:customStyle="1" w:styleId="OpiPara">
    <w:name w:val="Opi_Para"/>
    <w:basedOn w:val="ECHRPara"/>
    <w:uiPriority w:val="46"/>
    <w:qFormat/>
    <w:rsid w:val="00147F07"/>
  </w:style>
  <w:style w:type="paragraph" w:customStyle="1" w:styleId="OpiParaSub">
    <w:name w:val="Opi_Para_Sub"/>
    <w:basedOn w:val="JuParaSub"/>
    <w:uiPriority w:val="47"/>
    <w:qFormat/>
    <w:rsid w:val="00147F07"/>
  </w:style>
  <w:style w:type="paragraph" w:customStyle="1" w:styleId="OpiQuot">
    <w:name w:val="Opi_Quot"/>
    <w:basedOn w:val="ECHRParaQuote"/>
    <w:uiPriority w:val="48"/>
    <w:qFormat/>
    <w:rsid w:val="00147F07"/>
  </w:style>
  <w:style w:type="paragraph" w:customStyle="1" w:styleId="OpiQuotSub">
    <w:name w:val="Opi_Quot_Sub"/>
    <w:basedOn w:val="JuQuotSub"/>
    <w:uiPriority w:val="49"/>
    <w:qFormat/>
    <w:rsid w:val="00147F07"/>
  </w:style>
  <w:style w:type="paragraph" w:customStyle="1" w:styleId="OpiTranslation">
    <w:name w:val="Opi_Translation"/>
    <w:basedOn w:val="Normale"/>
    <w:next w:val="OpiPara"/>
    <w:uiPriority w:val="40"/>
    <w:qFormat/>
    <w:rsid w:val="00147F07"/>
    <w:pPr>
      <w:jc w:val="center"/>
      <w:outlineLvl w:val="0"/>
    </w:pPr>
    <w:rPr>
      <w:i/>
    </w:rPr>
  </w:style>
  <w:style w:type="character" w:customStyle="1" w:styleId="ECHRParaChar">
    <w:name w:val="ECHR_Para Char"/>
    <w:aliases w:val="Ju_Para Char,Para Char"/>
    <w:link w:val="ECHRPara"/>
    <w:uiPriority w:val="12"/>
    <w:rsid w:val="00737889"/>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hudoc.echr.coe.int/e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hudoc.echr.coe.int/en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13EB-E645-40AC-BFB6-48B4837B3FE8}">
  <ds:schemaRef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67627909-22E9-4C65-B032-4F7CCC365CBE}">
  <ds:schemaRefs>
    <ds:schemaRef ds:uri="http://schemas.microsoft.com/sharepoint/v3/contenttype/forms"/>
  </ds:schemaRefs>
</ds:datastoreItem>
</file>

<file path=customXml/itemProps3.xml><?xml version="1.0" encoding="utf-8"?>
<ds:datastoreItem xmlns:ds="http://schemas.openxmlformats.org/officeDocument/2006/customXml" ds:itemID="{5AF0972F-96ED-4F94-8619-447F8ED5D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324758F-8D60-4413-BD73-F16FE3A8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4928</Words>
  <Characters>28092</Characters>
  <Application>Microsoft Office Word</Application>
  <DocSecurity>4</DocSecurity>
  <Lines>234</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2017-04-05T13:33:00Z</dcterms:created>
  <dcterms:modified xsi:type="dcterms:W3CDTF">2017-04-05T13:33:00Z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